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bookmarkStart w:id="0" w:name="OLE_LINK78"/>
      <w:r>
        <w:rPr>
          <w:rFonts w:hint="eastAsia" w:ascii="仿宋" w:hAnsi="仿宋" w:eastAsia="仿宋" w:cs="仿宋"/>
          <w:b/>
          <w:color w:val="auto"/>
          <w:sz w:val="36"/>
          <w:szCs w:val="36"/>
          <w:highlight w:val="none"/>
          <w:lang w:eastAsia="zh-CN"/>
        </w:rPr>
        <w:t xml:space="preserve">JSZC-320830-ZHDL-C2025-0009</w:t>
      </w:r>
      <w:r>
        <w:rPr>
          <w:rFonts w:hint="eastAsia" w:ascii="仿宋" w:hAnsi="仿宋" w:eastAsia="仿宋" w:cs="仿宋"/>
          <w:b/>
          <w:color w:val="auto"/>
          <w:sz w:val="36"/>
          <w:szCs w:val="36"/>
          <w:highlight w:val="none"/>
        </w:rPr>
        <w:t xml:space="preserve"> </w:t>
      </w:r>
      <w:r>
        <w:rPr>
          <w:rFonts w:hint="eastAsia" w:ascii="仿宋" w:hAnsi="仿宋" w:eastAsia="仿宋" w:cs="仿宋"/>
          <w:b/>
          <w:color w:val="auto"/>
          <w:sz w:val="36"/>
          <w:szCs w:val="36"/>
          <w:highlight w:val="none"/>
          <w:lang w:val="en-US" w:eastAsia="zh-CN"/>
        </w:rPr>
        <w:t xml:space="preserve"> </w:t>
      </w:r>
      <w:bookmarkEnd w:id="0"/>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879"/>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jc w:val="both"/>
        <w:pageBreakBefore w:val="0"/>
        <w:spacing w:line="38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项目名称：盱眙县象山国家矿山公园地质灾害综合治理项目</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人：盱眙县自然资源和规划局</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采购代理机构：江苏中辉工程咨询管理有限公司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2025</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11</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pageBreakBefore w:val="0"/>
        <w:spacing w:line="3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701"/>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盱眙县自然资源和规划局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江苏中辉工程咨询管理有限公司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Segoe UI" w:hAnsi="Segoe UI" w:cs="Segoe UI"/>
                <w:i w:val="0"/>
                <w:iCs w:val="0"/>
                <w:caps w:val="0"/>
                <w:color w:val="auto"/>
                <w:spacing w:val="0"/>
                <w:sz w:val="21"/>
                <w:szCs w:val="21"/>
                <w:highlight w:val="none"/>
                <w:shd w:val="clear" w:color="auto" w:fill="ffffff"/>
                <w:lang w:eastAsia="zh-CN"/>
              </w:rPr>
              <w:t xml:space="preserve">JSZC-320830-ZHDL-C2025-0009</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盱眙县象山国家矿山公园地质灾害综合治理项目，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156.89万元</w:t>
            </w:r>
            <w:r>
              <w:rPr>
                <w:rFonts w:hint="eastAsia" w:ascii="仿宋" w:hAnsi="仿宋" w:eastAsia="仿宋" w:cs="仿宋"/>
                <w:color w:val="auto"/>
                <w:sz w:val="24"/>
                <w:szCs w:val="24"/>
                <w:highlight w:val="none"/>
                <w:lang w:val="en-US" w:eastAsia="zh-CN"/>
              </w:rPr>
              <w:tab/>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710"/>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1"/>
                <w:szCs w:val="21"/>
                <w:highlight w:val="none"/>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5</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12</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1</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淮安市公共资源交易中心盱眙分中心204开标室（江苏省政府采购一体化不见面开标（采购）大厅）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本次项目招标代理费参照苏政采协〔2024〕20号关于印发《江苏省政府采购代理服务收费指导意见》的通知文件收取</w:t>
            </w:r>
            <w:r>
              <w:rPr>
                <w:rFonts w:hint="eastAsia" w:ascii="仿宋" w:hAnsi="仿宋" w:eastAsia="仿宋" w:cs="仿宋"/>
                <w:color w:val="auto"/>
                <w:sz w:val="24"/>
                <w:szCs w:val="24"/>
                <w:highlight w:val="none"/>
                <w:lang w:eastAsia="zh-CN"/>
              </w:rPr>
              <w:t xml:space="preserve">，由成交供应商在成交通知书发出向采购代理机构一次性付清。因此供应商在报价时须将代理服务费用等包含在响应报价中，但无需单独列项计取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盱眙县象山国家矿山公园地质灾害综合治理项目（项目编号：JSZC-320830-ZHDL-C2025-0009）采购项目的潜在供应商应在</w:t>
      </w:r>
      <w:bookmarkStart w:id="3" w:name="OLE_LINK10"/>
      <w:r>
        <w:rPr>
          <w:rFonts w:hint="eastAsia" w:ascii="仿宋" w:hAnsi="仿宋" w:eastAsia="仿宋" w:cs="仿宋"/>
          <w:color w:val="auto"/>
          <w:sz w:val="24"/>
          <w:szCs w:val="24"/>
          <w:highlight w:val="none"/>
          <w:lang w:eastAsia="zh-CN"/>
        </w:rPr>
        <w:t xml:space="preserve">江苏省政府采购网</w:t>
      </w:r>
      <w:bookmarkEnd w:id="3"/>
      <w:r>
        <w:rPr>
          <w:rFonts w:hint="eastAsia" w:ascii="仿宋" w:hAnsi="仿宋" w:eastAsia="仿宋" w:cs="仿宋"/>
          <w:color w:val="auto"/>
          <w:sz w:val="24"/>
          <w:szCs w:val="24"/>
          <w:highlight w:val="none"/>
          <w:lang w:eastAsia="zh-CN"/>
        </w:rPr>
        <w:t xml:space="preserve">或者淮安市政府采购网获取采购文件，并于202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 </w:t>
      </w:r>
      <w:r>
        <w:rPr>
          <w:rFonts w:hint="eastAsia" w:ascii="仿宋" w:hAnsi="仿宋" w:eastAsia="仿宋" w:cs="仿宋"/>
          <w:color w:val="auto"/>
          <w:sz w:val="24"/>
          <w:szCs w:val="24"/>
          <w:highlight w:val="none"/>
          <w:lang w:eastAsia="zh-CN"/>
        </w:rPr>
        <w:t xml:space="preserve">09:00（北京时间）前提交响应文件。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：JSZC-320830-ZHDL-C2025-0009</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盱眙县象山国家矿山公园地质灾害综合治理项目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156.89万元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156.89万元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4" w:name="OLE_LINK43"/>
      <w:r/>
      <w:bookmarkStart w:id="5" w:name="OLE_LINK73"/>
      <w:r>
        <w:rPr>
          <w:rFonts w:hint="eastAsia" w:ascii="仿宋" w:hAnsi="仿宋" w:eastAsia="仿宋" w:cs="仿宋"/>
          <w:color w:val="auto"/>
          <w:sz w:val="24"/>
          <w:szCs w:val="24"/>
          <w:highlight w:val="none"/>
          <w:lang w:eastAsia="zh-CN"/>
        </w:rPr>
        <w:t xml:space="preserve">盱眙县象山国家矿山公园地质灾害综合治理项目，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bookmarkEnd w:id="4"/>
      <w:r>
        <w:rPr>
          <w:rFonts w:hint="eastAsia" w:ascii="仿宋" w:hAnsi="仿宋" w:eastAsia="仿宋" w:cs="仿宋"/>
          <w:color w:val="auto"/>
          <w:sz w:val="24"/>
          <w:szCs w:val="24"/>
          <w:highlight w:val="none"/>
        </w:rPr>
        <w:t xml:space="preserve">；</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150日历天</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6"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7" w:name="OLE_LINK50"/>
      <w:r>
        <w:rPr>
          <w:rFonts w:hint="eastAsia" w:ascii="仿宋" w:hAnsi="仿宋" w:eastAsia="仿宋" w:cs="仿宋"/>
          <w:color w:val="auto"/>
          <w:sz w:val="24"/>
          <w:szCs w:val="24"/>
          <w:highlight w:val="none"/>
          <w:lang w:val="en-US" w:eastAsia="zh-CN"/>
        </w:rPr>
        <w:t xml:space="preserve">2.</w:t>
      </w:r>
      <w:bookmarkStart w:id="8"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bookmarkEnd w:id="7"/>
      <w:r/>
      <w:bookmarkEnd w:id="8"/>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9" w:name="OLE_LINK51"/>
      <w:r>
        <w:rPr>
          <w:rFonts w:hint="eastAsia" w:ascii="仿宋" w:hAnsi="仿宋" w:eastAsia="仿宋" w:cs="仿宋"/>
          <w:color w:val="auto"/>
          <w:sz w:val="24"/>
          <w:szCs w:val="24"/>
          <w:highlight w:val="none"/>
          <w:lang w:val="en-US" w:eastAsia="zh-CN"/>
        </w:rPr>
        <w:t xml:space="preserve">3.</w:t>
      </w:r>
      <w:bookmarkStart w:id="10" w:name="OLE_LINK47"/>
      <w:r>
        <w:rPr>
          <w:rFonts w:hint="eastAsia" w:ascii="仿宋" w:hAnsi="仿宋" w:eastAsia="仿宋" w:cs="仿宋"/>
          <w:color w:val="auto"/>
          <w:sz w:val="24"/>
          <w:szCs w:val="24"/>
          <w:highlight w:val="none"/>
        </w:rPr>
        <w:t xml:space="preserve">有效的营业执照；</w:t>
      </w:r>
      <w:bookmarkStart w:id="11" w:name="OLE_LINK49"/>
      <w:r>
        <w:rPr>
          <w:rFonts w:hint="eastAsia" w:ascii="仿宋" w:hAnsi="仿宋" w:eastAsia="仿宋" w:cs="仿宋"/>
          <w:color w:val="auto"/>
          <w:sz w:val="24"/>
          <w:szCs w:val="24"/>
          <w:highlight w:val="none"/>
        </w:rPr>
        <w:t xml:space="preserve">（扫描件上传至电子响应文件）</w:t>
      </w:r>
      <w:bookmarkEnd w:id="9"/>
      <w:r/>
      <w:bookmarkEnd w:id="10"/>
      <w:r/>
      <w:bookmarkEnd w:id="11"/>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12"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//www.creditchina.gov.cn/）列入失信被执行人、重大税收违法案件当事人名单。供应商未被“中国政府采购网”（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//www.ccgp.gov.cn/）列入政府采购严重违法失信行为记录名单。由采购单位（采购代理单位）组织磋商小组在资格审查时查询，一旦被查询存在上述失信行为记录名单的，将视为资格审查不通过）。</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3"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4" w:name="OLE_LINK55"/>
      <w:r>
        <w:rPr>
          <w:rFonts w:hint="eastAsia" w:ascii="仿宋" w:hAnsi="仿宋" w:eastAsia="仿宋" w:cs="仿宋"/>
          <w:color w:val="auto"/>
          <w:sz w:val="24"/>
          <w:szCs w:val="24"/>
          <w:highlight w:val="none"/>
        </w:rPr>
        <w:t xml:space="preserve">本项目为专门面向中小企业采购的项目。</w:t>
      </w:r>
      <w:bookmarkEnd w:id="1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lang w:val="en-US" w:eastAsia="zh-CN"/>
        </w:rPr>
        <w:t xml:space="preserve">其他未列明行业</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中小企业声明函（格式按照示范格式四要求）或残疾人福利性单位声明函（格式按照示范格式五要求）或由省级以上监狱管理局、戒毒管理局（含新疆生产建设兵团）出具的属于监狱企业的证明文件）（扫描件上传至电子响应文件）；</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5" w:name="OLE_LINK56"/>
      <w:r/>
      <w:bookmarkStart w:id="16" w:name="OLE_LINK74"/>
      <w:r>
        <w:rPr>
          <w:rFonts w:hint="eastAsia" w:ascii="仿宋" w:hAnsi="仿宋" w:eastAsia="仿宋" w:cs="仿宋"/>
          <w:color w:val="auto"/>
          <w:sz w:val="24"/>
          <w:szCs w:val="24"/>
          <w:highlight w:val="none"/>
          <w:lang w:val="en-US" w:eastAsia="zh-CN"/>
        </w:rPr>
        <w:t xml:space="preserve">1.</w:t>
      </w:r>
      <w:bookmarkStart w:id="17" w:name="OLE_LINK5"/>
      <w:r>
        <w:rPr>
          <w:rFonts w:hint="eastAsia" w:ascii="仿宋" w:hAnsi="仿宋" w:eastAsia="仿宋" w:cs="仿宋"/>
          <w:color w:val="auto"/>
          <w:sz w:val="24"/>
          <w:szCs w:val="24"/>
          <w:highlight w:val="none"/>
          <w:lang w:val="en-US" w:eastAsia="zh-CN"/>
        </w:rPr>
        <w:t xml:space="preserve">供应商</w:t>
      </w:r>
      <w:bookmarkEnd w:id="17"/>
      <w:r>
        <w:rPr>
          <w:rFonts w:hint="eastAsia" w:ascii="仿宋" w:hAnsi="仿宋" w:eastAsia="仿宋" w:cs="仿宋"/>
          <w:color w:val="auto"/>
          <w:sz w:val="24"/>
          <w:szCs w:val="24"/>
          <w:highlight w:val="none"/>
          <w:lang w:val="en-US" w:eastAsia="zh-CN"/>
        </w:rPr>
        <w:t xml:space="preserve">具有自然资源部门或原国土资源部门颁发的地质灾害治理工程施工乙级及以上资质。</w:t>
      </w:r>
      <w:bookmarkStart w:id="18" w:name="OLE_LINK6"/>
      <w:r>
        <w:rPr>
          <w:rFonts w:hint="eastAsia" w:ascii="仿宋" w:hAnsi="仿宋" w:eastAsia="仿宋" w:cs="仿宋"/>
          <w:color w:val="auto"/>
          <w:sz w:val="24"/>
          <w:szCs w:val="24"/>
          <w:highlight w:val="none"/>
        </w:rPr>
        <w:t xml:space="preserve">（扫描件上传至电子响应文件）</w:t>
      </w:r>
      <w:bookmarkEnd w:id="15"/>
      <w:r/>
      <w:bookmarkEnd w:id="18"/>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2.项目负责人具有水文地质、工程地质、环境地质或岩土工程专业技术中级及以上职称（满足其中专业之一即可）</w:t>
      </w:r>
      <w:r/>
    </w:p>
    <w:p>
      <w:pPr>
        <w:numPr>
          <w:ilvl w:val="0"/>
          <w:numId w:val="0"/>
        </w:num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6"/>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19" w:name="OLE_LINK70"/>
      <w:r>
        <w:rPr>
          <w:rFonts w:hint="eastAsia" w:ascii="仿宋" w:hAnsi="仿宋" w:eastAsia="仿宋" w:cs="仿宋"/>
          <w:color w:val="auto"/>
          <w:sz w:val="24"/>
          <w:szCs w:val="24"/>
          <w:highlight w:val="none"/>
        </w:rPr>
        <w:t xml:space="preserve">江苏省政府采购网或者淮安市政府采购网</w:t>
      </w:r>
      <w:bookmarkEnd w:id="19"/>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20"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20"/>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12</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  </w:t>
      </w:r>
      <w:r>
        <w:rPr>
          <w:rFonts w:hint="eastAsia" w:ascii="仿宋" w:hAnsi="仿宋" w:eastAsia="仿宋" w:cs="仿宋"/>
          <w:b w:val="0"/>
          <w:bCs/>
          <w:color w:val="auto"/>
          <w:sz w:val="24"/>
          <w:szCs w:val="24"/>
          <w:highlight w:val="none"/>
        </w:rPr>
        <w:t xml:space="preserve">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21"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本项目采用远程“不见面”开标方式，无需到现场提交，请供应商在响应文件提交截止前提前登入苏采云政府采购一体化平台（网址：http://jszfcg.jscz.gov.cn/jszc/login）提交响应文件</w:t>
      </w:r>
      <w:bookmarkEnd w:id="21"/>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12</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 </w:t>
      </w:r>
      <w:r>
        <w:rPr>
          <w:rFonts w:hint="eastAsia" w:ascii="仿宋" w:hAnsi="仿宋" w:eastAsia="仿宋" w:cs="仿宋"/>
          <w:b w:val="0"/>
          <w:bCs/>
          <w:color w:val="auto"/>
          <w:sz w:val="24"/>
          <w:szCs w:val="24"/>
          <w:highlight w:val="none"/>
        </w:rPr>
        <w:t xml:space="preserve">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 </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2"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692"/>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3" w:name="OLE_LINK79"/>
      <w:r/>
      <w:bookmarkStart w:id="24" w:name="OLE_LINK3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单位名称：盱眙县自然资源和规划局</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联系人：魏勉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联系电话：13852345423</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单位名称：江苏中辉工程咨询管理有限公司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单位地址：盱眙国际商务大厦1023室（经济开发区迎春大道7-1）</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联系人：武蕾</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联系电话：15189687005</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项目联系人：武蕾</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w:t>
      </w:r>
      <w:bookmarkEnd w:id="2"/>
      <w:r/>
      <w:bookmarkEnd w:id="23"/>
      <w:r/>
      <w:bookmarkEnd w:id="24"/>
      <w:r>
        <w:rPr>
          <w:rFonts w:hint="eastAsia" w:ascii="仿宋" w:hAnsi="仿宋" w:eastAsia="仿宋" w:cs="仿宋"/>
          <w:color w:val="auto"/>
          <w:sz w:val="24"/>
          <w:szCs w:val="24"/>
          <w:highlight w:val="none"/>
          <w:lang w:val="en-US" w:eastAsia="zh-CN"/>
        </w:rPr>
        <w:t xml:space="preserve">15189687005</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第二章  供应商须知</w:t>
      </w:r>
      <w:r/>
    </w:p>
    <w:p>
      <w:pPr>
        <w:pageBreakBefore w:val="0"/>
        <w:spacing w:line="3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2.2</w:t>
      </w:r>
      <w:r>
        <w:rPr>
          <w:rFonts w:hint="eastAsia" w:ascii="仿宋" w:hAnsi="仿宋" w:eastAsia="仿宋" w:cs="仿宋"/>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3.1《中华人民共和国政府采购法》《中华人民共和国政府采购法实施条例》《政府采购竞争性磋商采购方式管理暂行办法》等有关法律</w:t>
      </w:r>
      <w:r>
        <w:rPr>
          <w:rFonts w:hint="eastAsia" w:ascii="仿宋" w:hAnsi="仿宋" w:eastAsia="仿宋" w:cs="仿宋"/>
          <w:color w:val="auto"/>
          <w:sz w:val="24"/>
          <w:szCs w:val="24"/>
          <w:highlight w:val="none"/>
          <w:lang w:eastAsia="zh-CN"/>
        </w:rPr>
        <w:t xml:space="preserve">、法规</w:t>
      </w:r>
      <w:r>
        <w:rPr>
          <w:rFonts w:hint="eastAsia" w:ascii="仿宋" w:hAnsi="仿宋" w:eastAsia="仿宋" w:cs="仿宋"/>
          <w:color w:val="auto"/>
          <w:sz w:val="24"/>
          <w:szCs w:val="24"/>
          <w:highlight w:val="none"/>
        </w:rPr>
        <w:t xml:space="preserve">和规定等。</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4.1供应商应自行承担所有与参加磋商有关的费用。不论磋商的结果如何，</w:t>
      </w:r>
      <w:bookmarkStart w:id="25" w:name="OLE_LINK36"/>
      <w:r>
        <w:rPr>
          <w:rFonts w:hint="eastAsia" w:ascii="仿宋" w:hAnsi="仿宋" w:eastAsia="仿宋" w:cs="仿宋"/>
          <w:color w:val="auto"/>
          <w:sz w:val="24"/>
          <w:szCs w:val="24"/>
          <w:highlight w:val="none"/>
          <w:lang w:val="en-US" w:eastAsia="zh-CN"/>
        </w:rPr>
        <w:t xml:space="preserve">盱眙</w:t>
      </w:r>
      <w:r>
        <w:rPr>
          <w:rFonts w:hint="eastAsia" w:ascii="仿宋" w:hAnsi="仿宋" w:eastAsia="仿宋" w:cs="仿宋"/>
          <w:color w:val="auto"/>
          <w:sz w:val="24"/>
          <w:szCs w:val="24"/>
          <w:highlight w:val="none"/>
        </w:rPr>
        <w:t xml:space="preserve">县政府采购中心</w:t>
      </w:r>
      <w:bookmarkEnd w:id="25"/>
      <w:r>
        <w:rPr>
          <w:rFonts w:hint="eastAsia" w:ascii="仿宋" w:hAnsi="仿宋" w:eastAsia="仿宋" w:cs="仿宋"/>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4.2采购代理（下称代理机构）：采购人委托</w:t>
      </w:r>
      <w:r>
        <w:rPr>
          <w:rFonts w:hint="eastAsia" w:ascii="仿宋" w:hAnsi="仿宋" w:eastAsia="仿宋" w:cs="仿宋"/>
          <w:color w:val="auto"/>
          <w:sz w:val="24"/>
          <w:szCs w:val="24"/>
          <w:highlight w:val="none"/>
          <w:lang w:eastAsia="zh-CN"/>
        </w:rPr>
        <w:t xml:space="preserve">江苏中辉工程咨询管理有限公司</w:t>
      </w:r>
      <w:r>
        <w:rPr>
          <w:rFonts w:hint="eastAsia" w:ascii="仿宋" w:hAnsi="仿宋" w:eastAsia="仿宋" w:cs="仿宋"/>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7.2对磋商文件的修改将在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7.3供应商须持续关注本项目在淮安市公共资源交易中心官网、淮安市政府采购网及电子化系统中发布的信息（含更正、修改等信息），否则产生的后果由供应商自行承担。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8.3如标书制作工具中格式和内容与“淮安市政府采购网”、“淮安市公共资源交易网”发布的招标文件不一致，请以“淮安市政府采购网”、“淮安市公共资源交易网”发布的招标文件为准。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9.1本次项目投标报价应是竞争性磋商文件所确定完成本项目全部工作内容的价格体现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全费用报价</w:t>
      </w:r>
      <w:r>
        <w:rPr>
          <w:rFonts w:hint="eastAsia" w:ascii="仿宋" w:hAnsi="仿宋" w:eastAsia="仿宋" w:cs="仿宋"/>
          <w:color w:val="auto"/>
          <w:sz w:val="24"/>
          <w:szCs w:val="24"/>
          <w:highlight w:val="none"/>
        </w:rPr>
        <w:t xml:space="preserve">，供应商的报价应包含</w:t>
      </w:r>
      <w:r>
        <w:rPr>
          <w:rFonts w:hint="eastAsia" w:ascii="仿宋" w:hAnsi="仿宋" w:eastAsia="仿宋" w:cs="仿宋"/>
          <w:color w:val="auto"/>
          <w:sz w:val="24"/>
          <w:szCs w:val="24"/>
          <w:highlight w:val="none"/>
          <w:lang w:val="en-US" w:eastAsia="zh-CN"/>
        </w:rPr>
        <w:t xml:space="preserve">所有服务费</w:t>
      </w:r>
      <w:r>
        <w:rPr>
          <w:rFonts w:hint="eastAsia" w:ascii="仿宋" w:hAnsi="仿宋" w:eastAsia="仿宋" w:cs="仿宋"/>
          <w:color w:val="auto"/>
          <w:sz w:val="24"/>
          <w:szCs w:val="24"/>
          <w:highlight w:val="none"/>
        </w:rPr>
        <w:t xml:space="preserve">、人工、材料、机械设备、管理费、利润、运输、脚手费、二次搬运、质保期所有费用、安全生产费、税金以及各项措施项目费、风险和政策性文件规定的各项应有费用，以及与</w:t>
      </w:r>
      <w:r>
        <w:rPr>
          <w:rFonts w:hint="eastAsia" w:ascii="仿宋" w:hAnsi="仿宋" w:eastAsia="仿宋" w:cs="仿宋"/>
          <w:color w:val="auto"/>
          <w:sz w:val="24"/>
          <w:szCs w:val="24"/>
          <w:highlight w:val="none"/>
          <w:lang w:eastAsia="zh-CN"/>
        </w:rPr>
        <w:t xml:space="preserve">本</w:t>
      </w:r>
      <w:r>
        <w:rPr>
          <w:rFonts w:hint="eastAsia" w:ascii="仿宋" w:hAnsi="仿宋" w:eastAsia="仿宋" w:cs="仿宋"/>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6" w:name="_Toc4104"/>
      <w:r>
        <w:rPr>
          <w:rFonts w:hint="eastAsia" w:ascii="仿宋" w:hAnsi="仿宋" w:eastAsia="仿宋" w:cs="仿宋"/>
          <w:bCs/>
          <w:color w:val="auto"/>
          <w:sz w:val="24"/>
          <w:szCs w:val="24"/>
          <w:highlight w:val="none"/>
        </w:rPr>
        <w:t xml:space="preserve">10.技术要求响应偏离</w:t>
      </w:r>
      <w:bookmarkEnd w:id="26"/>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14.1磋商有效期为从磋商之日起计算的</w:t>
      </w:r>
      <w:r>
        <w:rPr>
          <w:rFonts w:hint="eastAsia" w:ascii="仿宋" w:hAnsi="仿宋" w:eastAsia="仿宋" w:cs="仿宋"/>
          <w:color w:val="auto"/>
          <w:sz w:val="24"/>
          <w:szCs w:val="24"/>
          <w:highlight w:val="none"/>
          <w:lang w:val="en-US" w:eastAsia="zh-CN"/>
        </w:rPr>
        <w:t xml:space="preserve">九十日历</w:t>
      </w:r>
      <w:r>
        <w:rPr>
          <w:rFonts w:hint="eastAsia" w:ascii="仿宋" w:hAnsi="仿宋" w:eastAsia="仿宋" w:cs="仿宋"/>
          <w:color w:val="auto"/>
          <w:sz w:val="24"/>
          <w:szCs w:val="24"/>
          <w:highlight w:val="none"/>
        </w:rPr>
        <w:t xml:space="preserve">天</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磋商有效期比规定短的将被视为</w:t>
      </w:r>
      <w:r>
        <w:rPr>
          <w:rFonts w:hint="eastAsia" w:ascii="仿宋" w:hAnsi="仿宋" w:eastAsia="仿宋" w:cs="仿宋"/>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14.2</w:t>
      </w:r>
      <w:r>
        <w:rPr>
          <w:rFonts w:hint="eastAsia" w:ascii="仿宋" w:hAnsi="仿宋" w:eastAsia="仿宋" w:cs="仿宋"/>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16.响应文件的递交及接收截止时间</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16.1供应商应当按照《操作手册》规定，在投标截止时间前制作并上传电子投标文件。供应商应</w:t>
      </w:r>
      <w:r>
        <w:rPr>
          <w:rFonts w:hint="eastAsia" w:ascii="仿宋" w:hAnsi="仿宋" w:eastAsia="仿宋" w:cs="仿宋"/>
          <w:color w:val="auto"/>
          <w:sz w:val="24"/>
          <w:szCs w:val="24"/>
          <w:highlight w:val="none"/>
          <w:lang w:eastAsia="zh-CN"/>
        </w:rPr>
        <w:t xml:space="preserve">充分考虑</w:t>
      </w:r>
      <w:r>
        <w:rPr>
          <w:rFonts w:hint="eastAsia" w:ascii="仿宋" w:hAnsi="仿宋" w:eastAsia="仿宋" w:cs="仿宋"/>
          <w:color w:val="auto"/>
          <w:sz w:val="24"/>
          <w:szCs w:val="24"/>
          <w:highlight w:val="none"/>
        </w:rPr>
        <w:t xml:space="preserve">网络环境、网络带宽等风险因素，如因供应商自身原因造成的电子投标文件上传不成功的按照无效投标处理。</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16.2供应商上传的电子响应文件内容不清楚或不清晰的（含扫描件），造成无法评审或部分影响评审的，</w:t>
      </w:r>
      <w:r>
        <w:rPr>
          <w:rFonts w:hint="eastAsia" w:ascii="仿宋" w:hAnsi="仿宋" w:eastAsia="仿宋" w:cs="仿宋"/>
          <w:color w:val="auto"/>
          <w:sz w:val="24"/>
          <w:szCs w:val="24"/>
          <w:highlight w:val="none"/>
          <w:lang w:val="zh-CN"/>
        </w:rPr>
        <w:t xml:space="preserve">责任由</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zh-CN"/>
        </w:rPr>
        <w:t xml:space="preserve">自负。</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16.3供应商上传电子响应文件的时间不得迟于磋商邀请中规定的截止时间。</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17.响应文件被拒绝接收的情形</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 不见面磋商程序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.2.2供应商在磋商过程中涉及到的响应文件解密等工作，应按照《操作手册》规定执行。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仿宋" w:hAnsi="仿宋" w:eastAsia="仿宋" w:cs="仿宋"/>
          <w:bCs/>
          <w:color w:val="auto"/>
          <w:sz w:val="24"/>
          <w:szCs w:val="24"/>
          <w:highlight w:val="none"/>
          <w:lang w:eastAsia="zh-CN"/>
        </w:rPr>
        <w:t xml:space="preserve">不在要求</w:t>
      </w:r>
      <w:r>
        <w:rPr>
          <w:rFonts w:hint="eastAsia" w:ascii="仿宋" w:hAnsi="仿宋" w:eastAsia="仿宋" w:cs="仿宋"/>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.3.9为顺利实现本项目交易活动组织的远程交互，建议供应商配置相关软硬件设施，具体包括</w:t>
      </w:r>
      <w:r>
        <w:rPr>
          <w:rFonts w:hint="eastAsia" w:ascii="仿宋" w:hAnsi="仿宋" w:eastAsia="仿宋" w:cs="仿宋"/>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.3.9.1软件设施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.3.9.2硬件设施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磋商工作由</w:t>
      </w:r>
      <w:r>
        <w:rPr>
          <w:rFonts w:hint="eastAsia" w:ascii="仿宋" w:hAnsi="仿宋" w:eastAsia="仿宋" w:cs="仿宋"/>
          <w:color w:val="auto"/>
          <w:sz w:val="24"/>
          <w:szCs w:val="24"/>
          <w:highlight w:val="none"/>
        </w:rPr>
        <w:t xml:space="preserve">采购人（代理机构）</w:t>
      </w:r>
      <w:r>
        <w:rPr>
          <w:rFonts w:hint="eastAsia" w:ascii="仿宋" w:hAnsi="仿宋" w:eastAsia="仿宋" w:cs="仿宋"/>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.3</w:t>
      </w:r>
      <w:r>
        <w:rPr>
          <w:rFonts w:hint="eastAsia" w:ascii="仿宋" w:hAnsi="仿宋" w:eastAsia="仿宋" w:cs="仿宋"/>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.1.1.2在进行资格性审查的同时，将在“信用中国”网站（</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"http://www.creditchina.gov.cn" </w:instrText>
      </w:r>
      <w:r>
        <w:rPr>
          <w:rFonts w:hint="eastAsia" w:ascii="仿宋" w:hAnsi="仿宋" w:eastAsia="仿宋" w:cs="仿宋"/>
          <w:color w:val="auto"/>
          <w:sz w:val="24"/>
          <w:szCs w:val="24"/>
          <w:highlight w:val="none"/>
        </w:rPr>
        <w:fldChar w:fldCharType="separate"/>
      </w:r>
      <w:r>
        <w:rPr>
          <w:rStyle w:val="901"/>
          <w:rFonts w:hint="eastAsia" w:ascii="仿宋" w:hAnsi="仿宋" w:eastAsia="仿宋" w:cs="仿宋"/>
          <w:color w:val="auto"/>
          <w:sz w:val="24"/>
          <w:szCs w:val="24"/>
          <w:highlight w:val="none"/>
          <w:lang w:val="zh-CN"/>
        </w:rPr>
        <w:t xml:space="preserve">www.creditchina.gov.cn</w:t>
      </w:r>
      <w:r>
        <w:rPr>
          <w:rStyle w:val="901"/>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）、中国政府采购网"（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"http://www.ccgp.gov.cn" </w:instrText>
      </w:r>
      <w:r>
        <w:rPr>
          <w:rFonts w:hint="eastAsia" w:ascii="仿宋" w:hAnsi="仿宋" w:eastAsia="仿宋" w:cs="仿宋"/>
          <w:color w:val="auto"/>
          <w:sz w:val="24"/>
          <w:szCs w:val="24"/>
          <w:highlight w:val="none"/>
        </w:rPr>
        <w:fldChar w:fldCharType="separate"/>
      </w:r>
      <w:r>
        <w:rPr>
          <w:rStyle w:val="901"/>
          <w:rFonts w:hint="eastAsia" w:ascii="仿宋" w:hAnsi="仿宋" w:eastAsia="仿宋" w:cs="仿宋"/>
          <w:color w:val="auto"/>
          <w:sz w:val="24"/>
          <w:szCs w:val="24"/>
          <w:highlight w:val="none"/>
          <w:lang w:val="zh-CN"/>
        </w:rPr>
        <w:t xml:space="preserve">www.ccgp.gov.cn</w:t>
      </w:r>
      <w:r>
        <w:rPr>
          <w:rStyle w:val="901"/>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（2）供应商被 “信用中国”网站（www.creditchina.gov.cn）“中国政府采购网”网站（www.ccgp.gov.cn）等渠道列入失信被执行人或重大税收违法案件当事人名单或政府采购严重失信行为记录名单。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20.2.1磋商小组对响应文件的有效性、完整性和对磋商文件的响应程度进行审查，</w:t>
      </w:r>
      <w:r>
        <w:rPr>
          <w:rFonts w:hint="eastAsia" w:ascii="仿宋" w:hAnsi="仿宋" w:eastAsia="仿宋" w:cs="仿宋"/>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20.2.4磋商小组</w:t>
      </w:r>
      <w:r>
        <w:rPr>
          <w:rFonts w:hint="eastAsia" w:ascii="仿宋" w:hAnsi="仿宋" w:eastAsia="仿宋" w:cs="仿宋"/>
          <w:bCs/>
          <w:color w:val="auto"/>
          <w:sz w:val="24"/>
          <w:szCs w:val="24"/>
          <w:highlight w:val="none"/>
        </w:rPr>
        <w:t xml:space="preserve">将对确定为实质性响应的响应文件进行进一步</w:t>
      </w:r>
      <w:r>
        <w:rPr>
          <w:rFonts w:hint="eastAsia" w:ascii="仿宋" w:hAnsi="仿宋" w:eastAsia="仿宋" w:cs="仿宋"/>
          <w:color w:val="auto"/>
          <w:sz w:val="24"/>
          <w:szCs w:val="24"/>
          <w:highlight w:val="none"/>
        </w:rPr>
        <w:t xml:space="preserve">初审，</w:t>
      </w:r>
      <w:r>
        <w:rPr>
          <w:rFonts w:hint="eastAsia" w:ascii="仿宋" w:hAnsi="仿宋" w:eastAsia="仿宋" w:cs="仿宋"/>
          <w:bCs/>
          <w:color w:val="auto"/>
          <w:sz w:val="24"/>
          <w:szCs w:val="24"/>
          <w:highlight w:val="none"/>
        </w:rPr>
        <w:t xml:space="preserve">看其是否有计算上或累加上的算术错误，</w:t>
      </w:r>
      <w:r>
        <w:rPr>
          <w:rFonts w:hint="eastAsia" w:ascii="仿宋" w:hAnsi="仿宋" w:eastAsia="仿宋" w:cs="仿宋"/>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磋商小组并非对每个供应商都作澄清要求。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.2</w:t>
      </w:r>
      <w:r>
        <w:rPr>
          <w:rFonts w:hint="eastAsia" w:ascii="仿宋" w:hAnsi="仿宋" w:eastAsia="仿宋" w:cs="仿宋"/>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仿宋" w:hAnsi="仿宋" w:eastAsia="仿宋" w:cs="仿宋"/>
          <w:color w:val="auto"/>
          <w:sz w:val="24"/>
          <w:szCs w:val="24"/>
          <w:highlight w:val="none"/>
          <w:lang w:val="en-US" w:eastAsia="zh-CN"/>
        </w:rPr>
        <w:t xml:space="preserve">但不得变动磋商文件中的其他内容。实质性变动的内容，须经采购人代表确认</w:t>
      </w:r>
      <w:r>
        <w:rPr>
          <w:rFonts w:hint="eastAsia" w:ascii="仿宋" w:hAnsi="仿宋" w:eastAsia="仿宋" w:cs="仿宋"/>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最后报价是供应商响应文件的有效组成部分。符合《政府采购竞争性磋商采购方</w:t>
      </w:r>
      <w:r>
        <w:rPr>
          <w:rFonts w:hint="eastAsia" w:ascii="仿宋" w:hAnsi="仿宋" w:eastAsia="仿宋" w:cs="仿宋"/>
          <w:color w:val="auto"/>
          <w:sz w:val="24"/>
          <w:szCs w:val="24"/>
          <w:highlight w:val="none"/>
          <w:lang w:eastAsia="zh-CN"/>
        </w:rPr>
        <w:t xml:space="preserve">式管</w:t>
      </w:r>
      <w:r>
        <w:rPr>
          <w:rFonts w:hint="eastAsia" w:ascii="仿宋" w:hAnsi="仿宋" w:eastAsia="仿宋" w:cs="仿宋"/>
          <w:color w:val="auto"/>
          <w:sz w:val="24"/>
          <w:szCs w:val="24"/>
          <w:highlight w:val="none"/>
        </w:rPr>
        <w:t xml:space="preserve">理暂行办法》第三条第一款第四项及《财政部关于竞争性磋商采购方式管理暂行办法有关问题的补充通知》（财库</w:t>
      </w:r>
      <w:r>
        <w:rPr>
          <w:rFonts w:hint="eastAsia" w:ascii="仿宋" w:hAnsi="仿宋" w:eastAsia="仿宋" w:cs="仿宋"/>
          <w:color w:val="auto"/>
          <w:sz w:val="24"/>
          <w:szCs w:val="24"/>
          <w:highlight w:val="none"/>
          <w:lang w:eastAsia="zh-CN"/>
        </w:rPr>
        <w:t xml:space="preserve">〔2015〕124号</w:t>
      </w:r>
      <w:r>
        <w:rPr>
          <w:rFonts w:hint="eastAsia" w:ascii="仿宋" w:hAnsi="仿宋" w:eastAsia="仿宋" w:cs="仿宋"/>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磋商结束后，磋商小组将要求所有继续参加磋商的供应商凭CA锁</w:t>
      </w:r>
      <w:r>
        <w:rPr>
          <w:rFonts w:hint="eastAsia" w:ascii="仿宋" w:hAnsi="仿宋" w:eastAsia="仿宋" w:cs="仿宋"/>
          <w:bCs/>
          <w:color w:val="auto"/>
          <w:sz w:val="24"/>
          <w:szCs w:val="24"/>
          <w:highlight w:val="none"/>
          <w:lang w:eastAsia="zh-CN"/>
        </w:rPr>
        <w:t xml:space="preserve">登录</w:t>
      </w:r>
      <w:r>
        <w:rPr>
          <w:rFonts w:hint="eastAsia" w:ascii="仿宋" w:hAnsi="仿宋" w:eastAsia="仿宋" w:cs="仿宋"/>
          <w:bCs/>
          <w:color w:val="auto"/>
          <w:sz w:val="24"/>
          <w:szCs w:val="24"/>
          <w:highlight w:val="none"/>
          <w:lang w:val="en-US" w:eastAsia="zh-CN"/>
        </w:rPr>
        <w:t xml:space="preserve">苏彩云</w:t>
      </w:r>
      <w:r>
        <w:rPr>
          <w:rFonts w:hint="eastAsia" w:ascii="仿宋" w:hAnsi="仿宋" w:eastAsia="仿宋" w:cs="仿宋"/>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20.10</w:t>
      </w:r>
      <w:r>
        <w:rPr>
          <w:rFonts w:hint="eastAsia" w:ascii="仿宋" w:hAnsi="仿宋" w:eastAsia="仿宋" w:cs="仿宋"/>
          <w:color w:val="auto"/>
          <w:sz w:val="24"/>
          <w:szCs w:val="24"/>
          <w:highlight w:val="none"/>
        </w:rPr>
        <w:t xml:space="preserve">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评标委员会应当将其作为无效投标处理</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7" w:name="OLE_LINK13"/>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w:t>
      </w:r>
      <w:bookmarkStart w:id="28" w:name="OLE_LINK14"/>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w:t>
      </w:r>
      <w:bookmarkEnd w:id="28"/>
      <w:r>
        <w:rPr>
          <w:rFonts w:hint="eastAsia" w:ascii="仿宋" w:hAnsi="仿宋" w:eastAsia="仿宋" w:cs="仿宋"/>
          <w:bCs/>
          <w:color w:val="auto"/>
          <w:sz w:val="24"/>
          <w:szCs w:val="24"/>
          <w:highlight w:val="none"/>
        </w:rPr>
        <w:t xml:space="preserve">2评审标准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见本磋商文件第三章规定。</w:t>
      </w:r>
      <w:bookmarkEnd w:id="27"/>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bookmarkStart w:id="29" w:name="OLE_LINK57"/>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rPr>
        <w:t xml:space="preserve">.出现下列情形之一的，响应文件按照无效处理：</w:t>
      </w:r>
      <w:bookmarkEnd w:id="29"/>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w:t>
      </w:r>
      <w:r>
        <w:rPr>
          <w:rFonts w:hint="eastAsia" w:ascii="仿宋" w:hAnsi="仿宋" w:eastAsia="仿宋" w:cs="仿宋"/>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.3</w:t>
      </w:r>
      <w:r>
        <w:rPr>
          <w:rFonts w:hint="eastAsia" w:ascii="仿宋" w:hAnsi="仿宋" w:eastAsia="仿宋" w:cs="仿宋"/>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.5</w:t>
      </w:r>
      <w:r>
        <w:rPr>
          <w:rFonts w:hint="eastAsia" w:ascii="仿宋" w:hAnsi="仿宋" w:eastAsia="仿宋" w:cs="仿宋"/>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及本采购文件规定的属无效投标的情形。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3</w:t>
      </w:r>
      <w:r>
        <w:rPr>
          <w:rFonts w:hint="eastAsia" w:ascii="仿宋" w:hAnsi="仿宋" w:eastAsia="仿宋" w:cs="仿宋"/>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.3除《政府采购竞争性磋商采购方式管理暂行办法》财库</w:t>
      </w:r>
      <w:r>
        <w:rPr>
          <w:rFonts w:hint="eastAsia" w:ascii="仿宋" w:hAnsi="仿宋" w:eastAsia="仿宋" w:cs="仿宋"/>
          <w:color w:val="auto"/>
          <w:sz w:val="24"/>
          <w:szCs w:val="24"/>
          <w:highlight w:val="none"/>
          <w:lang w:eastAsia="zh-CN"/>
        </w:rPr>
        <w:t xml:space="preserve">〔2014〕214号</w:t>
      </w:r>
      <w:r>
        <w:rPr>
          <w:rFonts w:hint="eastAsia" w:ascii="仿宋" w:hAnsi="仿宋" w:eastAsia="仿宋" w:cs="仿宋"/>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.2成交结果将在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仿宋" w:hAnsi="仿宋" w:eastAsia="仿宋" w:cs="仿宋"/>
          <w:color w:val="auto"/>
          <w:sz w:val="24"/>
          <w:szCs w:val="24"/>
          <w:highlight w:val="none"/>
          <w:lang w:val="en-US" w:eastAsia="zh-CN"/>
        </w:rPr>
        <w:t xml:space="preserve">两</w:t>
      </w:r>
      <w:r>
        <w:rPr>
          <w:rFonts w:hint="eastAsia" w:ascii="仿宋" w:hAnsi="仿宋" w:eastAsia="仿宋" w:cs="仿宋"/>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w:t>
      </w:r>
      <w:r>
        <w:rPr>
          <w:rFonts w:hint="eastAsia" w:ascii="仿宋" w:hAnsi="仿宋" w:eastAsia="仿宋" w:cs="仿宋"/>
          <w:color w:val="auto"/>
          <w:sz w:val="24"/>
          <w:szCs w:val="24"/>
          <w:highlight w:val="none"/>
        </w:rPr>
        <w:t xml:space="preserve">2成交供应商在合同签订前必须</w:t>
      </w:r>
      <w:r>
        <w:rPr>
          <w:rFonts w:hint="eastAsia" w:ascii="仿宋" w:hAnsi="仿宋" w:eastAsia="仿宋" w:cs="仿宋"/>
          <w:color w:val="auto"/>
          <w:sz w:val="24"/>
          <w:szCs w:val="24"/>
          <w:highlight w:val="none"/>
          <w:lang w:eastAsia="zh-CN"/>
        </w:rPr>
        <w:t xml:space="preserve">缴纳</w:t>
      </w:r>
      <w:r>
        <w:rPr>
          <w:rFonts w:hint="eastAsia" w:ascii="仿宋" w:hAnsi="仿宋" w:eastAsia="仿宋" w:cs="仿宋"/>
          <w:color w:val="auto"/>
          <w:sz w:val="24"/>
          <w:szCs w:val="24"/>
          <w:highlight w:val="none"/>
        </w:rPr>
        <w:t xml:space="preserve">履约保证金。采购人在确认履约保证金</w:t>
      </w:r>
      <w:r>
        <w:rPr>
          <w:rFonts w:hint="eastAsia" w:ascii="仿宋" w:hAnsi="仿宋" w:eastAsia="仿宋" w:cs="仿宋"/>
          <w:color w:val="auto"/>
          <w:sz w:val="24"/>
          <w:szCs w:val="24"/>
          <w:highlight w:val="none"/>
          <w:lang w:eastAsia="zh-CN"/>
        </w:rPr>
        <w:t xml:space="preserve">到账后</w:t>
      </w:r>
      <w:r>
        <w:rPr>
          <w:rFonts w:hint="eastAsia" w:ascii="仿宋" w:hAnsi="仿宋" w:eastAsia="仿宋" w:cs="仿宋"/>
          <w:color w:val="auto"/>
          <w:sz w:val="24"/>
          <w:szCs w:val="24"/>
          <w:highlight w:val="none"/>
        </w:rPr>
        <w:t xml:space="preserve">，将发放成交通知书。逾期未办理作自动放弃处理。</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成交通知书对采购人及成交供应商同时均</w:t>
      </w:r>
      <w:r>
        <w:rPr>
          <w:rFonts w:hint="eastAsia" w:ascii="仿宋" w:hAnsi="仿宋" w:eastAsia="仿宋" w:cs="仿宋"/>
          <w:color w:val="auto"/>
          <w:sz w:val="24"/>
          <w:szCs w:val="24"/>
          <w:highlight w:val="none"/>
          <w:lang w:eastAsia="zh-CN"/>
        </w:rPr>
        <w:t xml:space="preserve">具有</w:t>
      </w:r>
      <w:r>
        <w:rPr>
          <w:rFonts w:hint="eastAsia" w:ascii="仿宋" w:hAnsi="仿宋" w:eastAsia="仿宋" w:cs="仿宋"/>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27.5履约保证金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27.5.1合同签订前</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向甲方缴纳合同价的1%为</w:t>
      </w:r>
      <w:r>
        <w:rPr>
          <w:rFonts w:hint="eastAsia" w:ascii="仿宋" w:hAnsi="仿宋" w:eastAsia="仿宋" w:cs="仿宋"/>
          <w:color w:val="auto"/>
          <w:sz w:val="24"/>
          <w:szCs w:val="24"/>
          <w:highlight w:val="none"/>
        </w:rPr>
        <w:t xml:space="preserve">本合同的履约保证金。</w:t>
      </w:r>
      <w:r>
        <w:rPr>
          <w:rFonts w:hint="eastAsia" w:ascii="仿宋" w:hAnsi="仿宋" w:eastAsia="仿宋" w:cs="仿宋"/>
          <w:color w:val="auto"/>
          <w:sz w:val="24"/>
          <w:szCs w:val="24"/>
          <w:highlight w:val="none"/>
          <w:lang w:val="en-US" w:eastAsia="zh-CN"/>
        </w:rPr>
        <w:t xml:space="preserve"> </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27.5.2</w:t>
      </w:r>
      <w:r>
        <w:rPr>
          <w:rFonts w:hint="eastAsia" w:ascii="仿宋" w:hAnsi="仿宋" w:eastAsia="仿宋" w:cs="仿宋"/>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27.5.3</w:t>
      </w:r>
      <w:r>
        <w:rPr>
          <w:rFonts w:hint="eastAsia" w:ascii="仿宋" w:hAnsi="仿宋" w:eastAsia="仿宋" w:cs="仿宋"/>
          <w:color w:val="auto"/>
          <w:sz w:val="24"/>
          <w:szCs w:val="24"/>
          <w:highlight w:val="none"/>
        </w:rPr>
        <w:t xml:space="preserve">乙方选取银行保函、担保公司的保证担保或保险公司的保证保险等形式的向采购人缴纳的，如保函（担保、保险等）的约定期到期但乙方履约仍未结束的，乙方须进行续保。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27.5.4</w:t>
      </w:r>
      <w:r>
        <w:rPr>
          <w:rFonts w:hint="eastAsia" w:ascii="仿宋" w:hAnsi="仿宋" w:eastAsia="仿宋" w:cs="仿宋"/>
          <w:color w:val="auto"/>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color w:val="auto"/>
          <w:sz w:val="24"/>
          <w:szCs w:val="24"/>
          <w:highlight w:val="none"/>
          <w:lang w:eastAsia="zh-CN"/>
        </w:rPr>
        <w:t xml:space="preserve">〔2023〕150号</w:t>
      </w:r>
      <w:r>
        <w:rPr>
          <w:rFonts w:hint="eastAsia" w:ascii="仿宋" w:hAnsi="仿宋" w:eastAsia="仿宋" w:cs="仿宋"/>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24.5.5</w:t>
      </w:r>
      <w:r>
        <w:rPr>
          <w:rFonts w:hint="eastAsia" w:ascii="仿宋" w:hAnsi="仿宋" w:eastAsia="仿宋" w:cs="仿宋"/>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27.5.6</w:t>
      </w:r>
      <w:r>
        <w:rPr>
          <w:rFonts w:hint="eastAsia" w:ascii="仿宋" w:hAnsi="仿宋" w:eastAsia="仿宋" w:cs="仿宋"/>
          <w:color w:val="auto"/>
          <w:sz w:val="24"/>
          <w:szCs w:val="24"/>
          <w:highlight w:val="none"/>
        </w:rPr>
        <w:t xml:space="preserve">履约保证金在合同约定期间内不予退还或者应完全有效</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约定期间届满之日起 5个工作日内，甲方应将履约保证金退还乙方；逾期退还的，按中国人民银行同期贷款</w:t>
      </w:r>
      <w:r>
        <w:rPr>
          <w:rFonts w:hint="eastAsia" w:ascii="仿宋" w:hAnsi="仿宋" w:eastAsia="仿宋" w:cs="仿宋"/>
          <w:color w:val="auto"/>
          <w:sz w:val="24"/>
          <w:szCs w:val="24"/>
          <w:highlight w:val="none"/>
          <w:lang w:eastAsia="zh-CN"/>
        </w:rPr>
        <w:t xml:space="preserve">基准利率</w:t>
      </w:r>
      <w:r>
        <w:rPr>
          <w:rFonts w:hint="eastAsia" w:ascii="仿宋" w:hAnsi="仿宋" w:eastAsia="仿宋" w:cs="仿宋"/>
          <w:color w:val="auto"/>
          <w:sz w:val="24"/>
          <w:szCs w:val="24"/>
          <w:highlight w:val="none"/>
        </w:rPr>
        <w:t xml:space="preserve">上浮20%后的利率支付超期资金占用费，但因乙方自身原因导致无法及时退还的除外。</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27.5.7</w:t>
      </w:r>
      <w:r>
        <w:rPr>
          <w:rFonts w:hint="eastAsia" w:ascii="仿宋" w:hAnsi="仿宋" w:eastAsia="仿宋" w:cs="仿宋"/>
          <w:color w:val="auto"/>
          <w:sz w:val="24"/>
          <w:szCs w:val="24"/>
          <w:highlight w:val="none"/>
        </w:rPr>
        <w:t xml:space="preserve">履约保证金在合同约定期间内不予退还</w:t>
      </w:r>
      <w:r>
        <w:rPr>
          <w:rFonts w:hint="eastAsia" w:ascii="仿宋" w:hAnsi="仿宋" w:eastAsia="仿宋" w:cs="仿宋"/>
          <w:color w:val="auto"/>
          <w:sz w:val="24"/>
          <w:szCs w:val="24"/>
          <w:highlight w:val="none"/>
          <w:lang w:eastAsia="zh-CN"/>
        </w:rPr>
        <w:t xml:space="preserve">或者</w:t>
      </w:r>
      <w:r>
        <w:rPr>
          <w:rFonts w:hint="eastAsia" w:ascii="仿宋" w:hAnsi="仿宋" w:eastAsia="仿宋" w:cs="仿宋"/>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.1采购人与成交供应商应在成交通知书发出之日起</w:t>
      </w:r>
      <w:r>
        <w:rPr>
          <w:rFonts w:hint="eastAsia" w:ascii="仿宋" w:hAnsi="仿宋" w:eastAsia="仿宋" w:cs="仿宋"/>
          <w:color w:val="auto"/>
          <w:sz w:val="24"/>
          <w:szCs w:val="24"/>
          <w:highlight w:val="none"/>
          <w:lang w:val="en-US" w:eastAsia="zh-CN"/>
        </w:rPr>
        <w:t xml:space="preserve">十二</w:t>
      </w:r>
      <w:r>
        <w:rPr>
          <w:rFonts w:hint="eastAsia" w:ascii="仿宋" w:hAnsi="仿宋" w:eastAsia="仿宋" w:cs="仿宋"/>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.2成交供应商自成交通知书发出之日起</w:t>
      </w:r>
      <w:r>
        <w:rPr>
          <w:rFonts w:hint="eastAsia" w:ascii="仿宋" w:hAnsi="仿宋" w:eastAsia="仿宋" w:cs="仿宋"/>
          <w:bCs/>
          <w:color w:val="auto"/>
          <w:sz w:val="24"/>
          <w:szCs w:val="24"/>
          <w:highlight w:val="none"/>
          <w:lang w:val="en-US" w:eastAsia="zh-CN"/>
        </w:rPr>
        <w:t xml:space="preserve">十二</w:t>
      </w:r>
      <w:r>
        <w:rPr>
          <w:rFonts w:hint="eastAsia" w:ascii="仿宋" w:hAnsi="仿宋" w:eastAsia="仿宋" w:cs="仿宋"/>
          <w:bCs/>
          <w:color w:val="auto"/>
          <w:sz w:val="24"/>
          <w:szCs w:val="24"/>
          <w:highlight w:val="none"/>
        </w:rPr>
        <w:t xml:space="preserve">日</w:t>
      </w:r>
      <w:r>
        <w:rPr>
          <w:rFonts w:hint="eastAsia" w:ascii="仿宋" w:hAnsi="仿宋" w:eastAsia="仿宋" w:cs="仿宋"/>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如果成交供应商没有按照2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条或</w:t>
      </w:r>
      <w:r>
        <w:rPr>
          <w:rFonts w:hint="eastAsia" w:ascii="仿宋" w:hAnsi="仿宋" w:eastAsia="仿宋" w:cs="仿宋"/>
          <w:color w:val="auto"/>
          <w:sz w:val="24"/>
          <w:szCs w:val="24"/>
          <w:highlight w:val="none"/>
          <w:lang w:val="en-US" w:eastAsia="zh-CN"/>
        </w:rPr>
        <w:t xml:space="preserve">28</w:t>
      </w:r>
      <w:r>
        <w:rPr>
          <w:rFonts w:hint="eastAsia" w:ascii="仿宋" w:hAnsi="仿宋" w:eastAsia="仿宋" w:cs="仿宋"/>
          <w:color w:val="auto"/>
          <w:sz w:val="24"/>
          <w:szCs w:val="24"/>
          <w:highlight w:val="none"/>
        </w:rPr>
        <w:t xml:space="preserve">条的规定去做，采购人可报财政部门取消其成交资格，在此情况下采购人可将标授予下一个成交候选供应商，或重新采购。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cs="仿宋"/>
          <w:color w:val="auto"/>
          <w:sz w:val="24"/>
          <w:szCs w:val="24"/>
          <w:highlight w:val="none"/>
          <w:lang w:eastAsia="zh-CN"/>
        </w:rPr>
        <w:t xml:space="preserve">额的</w:t>
      </w:r>
      <w:r>
        <w:rPr>
          <w:rFonts w:hint="eastAsia" w:ascii="仿宋" w:hAnsi="仿宋" w:eastAsia="仿宋" w:cs="仿宋"/>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.3质疑供应商是指直接参加本次磋商活动的供应商，未参加磋商活动的供应商或在磋商活动中自身权益未受到损害的供应商所提出的质疑不予受理。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.4质疑供应商在法定质疑期内应当一次性提出针对同一采购环节提出质疑。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.5质疑函必须</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中华人民共和国政府采购法》《中华人民共和国政府采购法实施条例</w:t>
      </w:r>
      <w:r>
        <w:rPr>
          <w:rFonts w:hint="eastAsia" w:ascii="仿宋" w:hAnsi="仿宋" w:eastAsia="仿宋" w:cs="仿宋"/>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.6质疑函应当包括以下主要内容，</w:t>
      </w:r>
      <w:r>
        <w:rPr>
          <w:rFonts w:hint="eastAsia" w:ascii="仿宋" w:hAnsi="仿宋" w:eastAsia="仿宋" w:cs="仿宋"/>
          <w:color w:val="auto"/>
          <w:sz w:val="24"/>
          <w:szCs w:val="24"/>
          <w:highlight w:val="none"/>
          <w:lang w:val="zh-CN"/>
        </w:rPr>
        <w:t xml:space="preserve">并</w:t>
      </w:r>
      <w:r>
        <w:rPr>
          <w:rFonts w:hint="eastAsia" w:ascii="仿宋" w:hAnsi="仿宋" w:eastAsia="仿宋" w:cs="仿宋"/>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0" w:name="_Toc16743"/>
      <w:r>
        <w:rPr>
          <w:rFonts w:hint="eastAsia" w:ascii="仿宋" w:hAnsi="仿宋" w:eastAsia="仿宋" w:cs="仿宋"/>
          <w:color w:val="auto"/>
          <w:sz w:val="24"/>
          <w:szCs w:val="24"/>
          <w:highlight w:val="none"/>
        </w:rPr>
        <w:t xml:space="preserve">（3）具体、明确的质疑事项和与质疑事实相关的请求；</w:t>
      </w:r>
      <w:bookmarkEnd w:id="30"/>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1" w:name="_Toc20203"/>
      <w:r>
        <w:rPr>
          <w:rFonts w:hint="eastAsia" w:ascii="仿宋" w:hAnsi="仿宋" w:eastAsia="仿宋" w:cs="仿宋"/>
          <w:color w:val="auto"/>
          <w:sz w:val="24"/>
          <w:szCs w:val="24"/>
          <w:highlight w:val="none"/>
        </w:rPr>
        <w:t xml:space="preserve">（4）事实依据；</w:t>
      </w:r>
      <w:bookmarkEnd w:id="31"/>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2" w:name="_Toc18795"/>
      <w:r>
        <w:rPr>
          <w:rFonts w:hint="eastAsia" w:ascii="仿宋" w:hAnsi="仿宋" w:eastAsia="仿宋" w:cs="仿宋"/>
          <w:color w:val="auto"/>
          <w:sz w:val="24"/>
          <w:szCs w:val="24"/>
          <w:highlight w:val="none"/>
        </w:rPr>
        <w:t xml:space="preserve">（5）必要的法律依据；</w:t>
      </w:r>
      <w:bookmarkEnd w:id="32"/>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3" w:name="_Toc6388"/>
      <w:r>
        <w:rPr>
          <w:rFonts w:hint="eastAsia" w:ascii="仿宋" w:hAnsi="仿宋" w:eastAsia="仿宋" w:cs="仿宋"/>
          <w:color w:val="auto"/>
          <w:sz w:val="24"/>
          <w:szCs w:val="24"/>
          <w:highlight w:val="none"/>
        </w:rPr>
        <w:t xml:space="preserve">（6）提起质疑的日期；</w:t>
      </w:r>
      <w:bookmarkEnd w:id="33"/>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.投诉</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w:t>
      </w:r>
      <w:r>
        <w:rPr>
          <w:rFonts w:hint="eastAsia" w:ascii="仿宋" w:hAnsi="仿宋" w:eastAsia="仿宋" w:cs="仿宋"/>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32.1.1</w:t>
      </w:r>
      <w:r>
        <w:rPr>
          <w:rFonts w:hint="eastAsia" w:ascii="仿宋" w:hAnsi="仿宋" w:eastAsia="仿宋" w:cs="仿宋"/>
          <w:color w:val="auto"/>
          <w:sz w:val="24"/>
          <w:szCs w:val="24"/>
          <w:highlight w:val="none"/>
          <w:lang w:val="zh-CN"/>
        </w:rPr>
        <w:t xml:space="preserve">对</w:t>
      </w:r>
      <w:r>
        <w:rPr>
          <w:rFonts w:hint="eastAsia" w:ascii="仿宋" w:hAnsi="仿宋" w:eastAsia="仿宋" w:cs="仿宋"/>
          <w:color w:val="auto"/>
          <w:sz w:val="24"/>
          <w:szCs w:val="24"/>
          <w:highlight w:val="none"/>
        </w:rPr>
        <w:t xml:space="preserve">于未专门面向中小企业或者</w:t>
      </w:r>
      <w:r>
        <w:rPr>
          <w:rFonts w:hint="eastAsia" w:ascii="仿宋" w:hAnsi="仿宋" w:eastAsia="仿宋" w:cs="仿宋"/>
          <w:color w:val="auto"/>
          <w:sz w:val="24"/>
          <w:szCs w:val="24"/>
          <w:highlight w:val="none"/>
          <w:lang w:val="zh-CN"/>
        </w:rPr>
        <w:t xml:space="preserve">未预留份额专门面向中小企业采购的采购项目，供应商提供的货物或者服务</w:t>
      </w:r>
      <w:r>
        <w:rPr>
          <w:rFonts w:hint="eastAsia" w:ascii="仿宋" w:hAnsi="仿宋" w:eastAsia="仿宋" w:cs="仿宋"/>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32.1.2</w:t>
      </w:r>
      <w:r>
        <w:rPr>
          <w:rFonts w:hint="eastAsia" w:ascii="仿宋" w:hAnsi="仿宋" w:eastAsia="仿宋" w:cs="仿宋"/>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32.1.3</w:t>
      </w:r>
      <w:r>
        <w:rPr>
          <w:rFonts w:hint="eastAsia" w:ascii="仿宋" w:hAnsi="仿宋" w:eastAsia="仿宋" w:cs="仿宋"/>
          <w:color w:val="auto"/>
          <w:sz w:val="24"/>
          <w:szCs w:val="24"/>
          <w:highlight w:val="none"/>
        </w:rPr>
        <w:t xml:space="preserve">企业标准请参照《关于印发中小企业划型标准规定的通知》（工信部联企业</w:t>
      </w:r>
      <w:r>
        <w:rPr>
          <w:rFonts w:hint="eastAsia" w:ascii="仿宋" w:hAnsi="仿宋" w:eastAsia="仿宋" w:cs="仿宋"/>
          <w:color w:val="auto"/>
          <w:sz w:val="24"/>
          <w:szCs w:val="24"/>
          <w:highlight w:val="none"/>
          <w:lang w:eastAsia="zh-CN"/>
        </w:rPr>
        <w:t xml:space="preserve">〔2011〕300号</w:t>
      </w:r>
      <w:r>
        <w:rPr>
          <w:rFonts w:hint="eastAsia" w:ascii="仿宋" w:hAnsi="仿宋" w:eastAsia="仿宋" w:cs="仿宋"/>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w:t>
      </w:r>
      <w:r>
        <w:rPr>
          <w:rFonts w:hint="eastAsia" w:ascii="仿宋" w:hAnsi="仿宋" w:eastAsia="仿宋" w:cs="仿宋"/>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32.2.1</w:t>
      </w:r>
      <w:r>
        <w:rPr>
          <w:rFonts w:hint="eastAsia" w:ascii="仿宋" w:hAnsi="仿宋" w:eastAsia="仿宋" w:cs="仿宋"/>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32.2.2</w:t>
      </w:r>
      <w:r>
        <w:rPr>
          <w:rFonts w:hint="eastAsia" w:ascii="仿宋" w:hAnsi="仿宋" w:eastAsia="仿宋" w:cs="仿宋"/>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32.2.3</w:t>
      </w:r>
      <w:r>
        <w:rPr>
          <w:rFonts w:hint="eastAsia" w:ascii="仿宋" w:hAnsi="仿宋" w:eastAsia="仿宋" w:cs="仿宋"/>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w:t>
      </w:r>
      <w:r>
        <w:rPr>
          <w:rFonts w:hint="eastAsia" w:ascii="仿宋" w:hAnsi="仿宋" w:eastAsia="仿宋" w:cs="仿宋"/>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32.3.1</w:t>
      </w:r>
      <w:r>
        <w:rPr>
          <w:rFonts w:hint="eastAsia" w:ascii="仿宋" w:hAnsi="仿宋" w:eastAsia="仿宋" w:cs="仿宋"/>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32.3.2</w:t>
      </w:r>
      <w:r>
        <w:rPr>
          <w:rFonts w:hint="eastAsia" w:ascii="仿宋" w:hAnsi="仿宋" w:eastAsia="仿宋" w:cs="仿宋"/>
          <w:color w:val="auto"/>
          <w:sz w:val="24"/>
          <w:szCs w:val="24"/>
          <w:highlight w:val="none"/>
        </w:rPr>
        <w:t xml:space="preserve">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32.3.3</w:t>
      </w:r>
      <w:r>
        <w:rPr>
          <w:rFonts w:hint="eastAsia" w:ascii="仿宋" w:hAnsi="仿宋" w:eastAsia="仿宋" w:cs="仿宋"/>
          <w:color w:val="auto"/>
          <w:sz w:val="24"/>
          <w:szCs w:val="24"/>
          <w:highlight w:val="none"/>
        </w:rPr>
        <w:t xml:space="preserve">监狱企业标准请参照《关于政府采购支持监狱企业发展有关问题的通知》（财库</w:t>
      </w:r>
      <w:r>
        <w:rPr>
          <w:rFonts w:hint="eastAsia" w:ascii="仿宋" w:hAnsi="仿宋" w:eastAsia="仿宋" w:cs="仿宋"/>
          <w:color w:val="auto"/>
          <w:sz w:val="24"/>
          <w:szCs w:val="24"/>
          <w:highlight w:val="none"/>
          <w:lang w:eastAsia="zh-CN"/>
        </w:rPr>
        <w:t xml:space="preserve">〔2014〕68号</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32.3.4</w:t>
      </w:r>
      <w:r>
        <w:rPr>
          <w:rFonts w:hint="eastAsia" w:ascii="仿宋" w:hAnsi="仿宋" w:eastAsia="仿宋" w:cs="仿宋"/>
          <w:color w:val="auto"/>
          <w:sz w:val="24"/>
          <w:szCs w:val="24"/>
          <w:highlight w:val="none"/>
        </w:rPr>
        <w:t xml:space="preserve">对于同时属于小型、微型企业、残疾人福利单位、监狱企业的，不重复享受政策。</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被列入“节能产品品目清单”的，实行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99"/>
        <w:ind w:left="0" w:firstLine="240"/>
        <w:keepLines w:val="0"/>
        <w:keepNext w:val="0"/>
        <w:pageBreakBefore w:val="0"/>
        <w:spacing w:after="0"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899"/>
        <w:ind w:left="0" w:firstLine="24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.3本项目中</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35.1中标供应商可凭政府采购合同办理融资贷款，详情请见江苏政府采购网“政采贷”专栏。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35.2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center"/>
        <w:pageBreakBefore w:val="0"/>
        <w:spacing w:line="380" w:lineRule="exact"/>
        <w:rPr>
          <w:rFonts w:hint="eastAsia" w:ascii="仿宋" w:hAnsi="仿宋" w:eastAsia="仿宋" w:cs="仿宋"/>
          <w:b/>
          <w:color w:val="auto"/>
          <w:sz w:val="30"/>
          <w:szCs w:val="30"/>
          <w:highlight w:val="none"/>
        </w:rPr>
        <w:outlineLvl w:val="0"/>
      </w:pPr>
      <w:r/>
      <w:bookmarkStart w:id="34" w:name="OLE_LINK21"/>
      <w:r>
        <w:rPr>
          <w:rFonts w:hint="eastAsia" w:ascii="仿宋" w:hAnsi="仿宋" w:eastAsia="仿宋" w:cs="仿宋"/>
          <w:b/>
          <w:color w:val="auto"/>
          <w:sz w:val="30"/>
          <w:szCs w:val="30"/>
          <w:highlight w:val="none"/>
        </w:rPr>
        <w:t xml:space="preserve">第三章  评标标准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一、本项目采用综合评分法进行评审。</w:t>
      </w:r>
      <w:r>
        <w:rPr>
          <w:rFonts w:hint="eastAsia" w:ascii="仿宋" w:hAnsi="仿宋" w:eastAsia="仿宋" w:cs="仿宋"/>
          <w:color w:val="auto"/>
          <w:sz w:val="24"/>
          <w:szCs w:val="24"/>
          <w:highlight w:val="none"/>
        </w:rPr>
        <w:t xml:space="preserve">磋商小组仅对确定为实质上响应磋商文件要求的响应文件进行评价和比较。综合评分法，是指响应文件满足磋商文件全部要求且</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评审因素的量化指标评审得分最高的供应商为成交候选供应商的评标方法。</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磋商小组将依据下列评分细则进行评标（总分值</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100分）：投标报价得分保留小数点后两位，小数点后第三位四舍五入。</w:t>
      </w:r>
      <w:r/>
    </w:p>
    <w:p>
      <w:pPr>
        <w:jc w:val="center"/>
        <w:keepLines w:val="0"/>
        <w:keepNext w:val="0"/>
        <w:pageBreakBefore w:val="0"/>
        <w:spacing w:line="380" w:lineRule="exact"/>
        <w:widowControl w:val="off"/>
        <w:rPr>
          <w:rFonts w:hint="eastAsia" w:ascii="仿宋" w:hAnsi="仿宋" w:eastAsia="仿宋" w:cs="仿宋"/>
          <w:b/>
          <w:color w:val="auto"/>
          <w:sz w:val="24"/>
          <w:szCs w:val="24"/>
          <w:highlight w:val="none"/>
        </w:rPr>
      </w:pPr>
      <w:r/>
      <w:bookmarkStart w:id="35" w:name="OLE_LINK16"/>
      <w:r>
        <w:rPr>
          <w:rFonts w:hint="eastAsia" w:ascii="仿宋" w:hAnsi="仿宋" w:eastAsia="仿宋" w:cs="仿宋"/>
          <w:b/>
          <w:color w:val="auto"/>
          <w:sz w:val="24"/>
          <w:szCs w:val="24"/>
          <w:highlight w:val="none"/>
        </w:rPr>
        <w:t xml:space="preserve">综合评审因素和评分标准（100分）</w:t>
      </w:r>
      <w:bookmarkEnd w:id="35"/>
      <w:r/>
      <w:r/>
    </w:p>
    <w:p>
      <w:pPr>
        <w:spacing w:line="360" w:lineRule="auto"/>
        <w:rPr>
          <w:rFonts w:hint="eastAsia" w:ascii="仿宋" w:hAnsi="仿宋" w:eastAsia="仿宋" w:cs="仿宋"/>
          <w:sz w:val="24"/>
        </w:rPr>
      </w:pPr>
      <w:r>
        <w:rPr>
          <w:rFonts w:hint="eastAsia" w:ascii="仿宋" w:hAnsi="仿宋" w:eastAsia="仿宋" w:cs="仿宋"/>
          <w:b/>
          <w:bCs/>
          <w:sz w:val="24"/>
        </w:rPr>
        <w:t xml:space="preserve">报价得分计算（</w:t>
      </w:r>
      <w:r>
        <w:rPr>
          <w:rFonts w:hint="eastAsia" w:ascii="仿宋" w:hAnsi="仿宋" w:eastAsia="仿宋" w:cs="仿宋"/>
          <w:b/>
          <w:bCs/>
          <w:sz w:val="24"/>
          <w:lang w:val="en-US" w:eastAsia="zh-CN"/>
        </w:rPr>
        <w:t xml:space="preserve">15</w:t>
      </w:r>
      <w:r>
        <w:rPr>
          <w:rFonts w:hint="eastAsia" w:ascii="仿宋" w:hAnsi="仿宋" w:eastAsia="仿宋" w:cs="仿宋"/>
          <w:b/>
          <w:bCs/>
          <w:sz w:val="24"/>
        </w:rPr>
        <w:t xml:space="preserve">分）：</w:t>
      </w:r>
      <w:r/>
    </w:p>
    <w:p>
      <w:pPr>
        <w:spacing w:line="360" w:lineRule="auto"/>
        <w:rPr>
          <w:rFonts w:hint="eastAsia" w:ascii="仿宋" w:hAnsi="仿宋" w:eastAsia="仿宋" w:cs="仿宋"/>
          <w:b/>
          <w:bCs/>
          <w:color w:val="auto"/>
          <w:sz w:val="24"/>
        </w:rPr>
      </w:pPr>
      <w:r>
        <w:rPr>
          <w:rFonts w:hint="eastAsia" w:ascii="仿宋" w:hAnsi="仿宋" w:eastAsia="仿宋" w:cs="仿宋"/>
          <w:color w:val="auto"/>
          <w:sz w:val="24"/>
          <w:highlight w:val="none"/>
        </w:rPr>
        <w:t xml:space="preserve">即满足投标文件要求且最后报价最低的投标人的价格为投标基准价，其价格分为满分，其他投标人的价格分统一按照下列公式计算：投标报价得分=（投标基准价/投标报价）×1</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；（四舍五入保留两位小数）。若投标人投标报价超出控制报价范围，则该投标人作无效投标处理。</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技术标评分（</w:t>
      </w:r>
      <w:r>
        <w:rPr>
          <w:rFonts w:hint="eastAsia" w:ascii="仿宋" w:hAnsi="仿宋" w:eastAsia="仿宋" w:cs="仿宋"/>
          <w:b/>
          <w:bCs/>
          <w:sz w:val="24"/>
          <w:lang w:val="en-US" w:eastAsia="zh-CN"/>
        </w:rPr>
        <w:t xml:space="preserve">60</w:t>
      </w:r>
      <w:r>
        <w:rPr>
          <w:rFonts w:hint="eastAsia" w:ascii="仿宋" w:hAnsi="仿宋" w:eastAsia="仿宋" w:cs="仿宋"/>
          <w:b/>
          <w:bCs/>
          <w:sz w:val="24"/>
        </w:rPr>
        <w:t xml:space="preserve">分）：</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施工组织总体设想、方案针对性及施工段划分合理性施工方案与技术措施(0~</w:t>
      </w:r>
      <w:r>
        <w:rPr>
          <w:rFonts w:hint="eastAsia" w:ascii="仿宋" w:hAnsi="仿宋" w:eastAsia="仿宋" w:cs="仿宋"/>
          <w:color w:val="auto"/>
          <w:sz w:val="24"/>
          <w:lang w:val="en-US" w:eastAsia="zh-CN"/>
        </w:rPr>
        <w:t xml:space="preserve">10</w:t>
      </w:r>
      <w:r>
        <w:rPr>
          <w:rFonts w:hint="eastAsia" w:ascii="仿宋" w:hAnsi="仿宋" w:eastAsia="仿宋" w:cs="仿宋"/>
          <w:color w:val="auto"/>
          <w:sz w:val="24"/>
        </w:rPr>
        <w:t xml:space="preserve">.00)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施工现场平面布置和临时设施、临时道路布置合理性(0~</w:t>
      </w:r>
      <w:r>
        <w:rPr>
          <w:rFonts w:hint="eastAsia" w:ascii="仿宋" w:hAnsi="仿宋" w:eastAsia="仿宋" w:cs="仿宋"/>
          <w:color w:val="auto"/>
          <w:sz w:val="24"/>
          <w:lang w:val="en-US" w:eastAsia="zh-CN"/>
        </w:rPr>
        <w:t xml:space="preserve">10</w:t>
      </w:r>
      <w:r>
        <w:rPr>
          <w:rFonts w:hint="eastAsia" w:ascii="仿宋" w:hAnsi="仿宋" w:eastAsia="仿宋" w:cs="仿宋"/>
          <w:color w:val="auto"/>
          <w:sz w:val="24"/>
        </w:rPr>
        <w:t xml:space="preserve">.00)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施工进度计划和各阶段进度的保证措施 (0~</w:t>
      </w:r>
      <w:r>
        <w:rPr>
          <w:rFonts w:hint="eastAsia" w:ascii="仿宋" w:hAnsi="仿宋" w:eastAsia="仿宋" w:cs="仿宋"/>
          <w:color w:val="auto"/>
          <w:sz w:val="24"/>
          <w:lang w:val="en-US" w:eastAsia="zh-CN"/>
        </w:rPr>
        <w:t xml:space="preserve">10</w:t>
      </w:r>
      <w:r>
        <w:rPr>
          <w:rFonts w:hint="eastAsia" w:ascii="仿宋" w:hAnsi="仿宋" w:eastAsia="仿宋" w:cs="仿宋"/>
          <w:color w:val="auto"/>
          <w:sz w:val="24"/>
        </w:rPr>
        <w:t xml:space="preserve">.00)</w:t>
      </w:r>
      <w:r/>
    </w:p>
    <w:p>
      <w:pPr>
        <w:numPr>
          <w:ilvl w:val="0"/>
          <w:numId w:val="2"/>
        </w:numPr>
        <w:spacing w:line="360" w:lineRule="auto"/>
        <w:rPr>
          <w:rFonts w:hint="eastAsia" w:ascii="仿宋" w:hAnsi="仿宋" w:eastAsia="仿宋" w:cs="仿宋"/>
          <w:color w:val="auto"/>
          <w:sz w:val="24"/>
        </w:rPr>
      </w:pPr>
      <w:r/>
      <w:bookmarkStart w:id="36" w:name="OLE_LINK7"/>
      <w:r>
        <w:rPr>
          <w:rFonts w:hint="eastAsia" w:ascii="仿宋" w:hAnsi="仿宋" w:eastAsia="仿宋" w:cs="仿宋"/>
          <w:color w:val="auto"/>
          <w:sz w:val="24"/>
        </w:rPr>
        <w:t xml:space="preserve">各分项工程的施工方案及质量保证措</w:t>
      </w:r>
      <w:bookmarkEnd w:id="36"/>
      <w:r>
        <w:rPr>
          <w:rFonts w:hint="eastAsia" w:ascii="仿宋" w:hAnsi="仿宋" w:eastAsia="仿宋" w:cs="仿宋"/>
          <w:color w:val="auto"/>
          <w:sz w:val="24"/>
        </w:rPr>
        <w:t xml:space="preserve">施 (0~</w:t>
      </w:r>
      <w:r>
        <w:rPr>
          <w:rFonts w:hint="eastAsia" w:ascii="仿宋" w:hAnsi="仿宋" w:eastAsia="仿宋" w:cs="仿宋"/>
          <w:color w:val="auto"/>
          <w:sz w:val="24"/>
          <w:lang w:val="en-US" w:eastAsia="zh-CN"/>
        </w:rPr>
        <w:t xml:space="preserve">8</w:t>
      </w:r>
      <w:r>
        <w:rPr>
          <w:rFonts w:hint="eastAsia" w:ascii="仿宋" w:hAnsi="仿宋" w:eastAsia="仿宋" w:cs="仿宋"/>
          <w:color w:val="auto"/>
          <w:sz w:val="24"/>
        </w:rPr>
        <w:t xml:space="preserve">.00)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安全文明施工及环境保护措施 (0~5.00)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项目组人员配备、素质及管理经验 (0~5.00)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劳动力、机械设备和材料投入计划 (0~5.00)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针对本项目特点的关键施工技术、安全、进度、成本控制的针对性措施并提出相关合理化建议 (0~</w:t>
      </w:r>
      <w:r>
        <w:rPr>
          <w:rFonts w:hint="eastAsia" w:ascii="仿宋" w:hAnsi="仿宋" w:eastAsia="仿宋" w:cs="仿宋"/>
          <w:color w:val="auto"/>
          <w:sz w:val="24"/>
          <w:lang w:val="en-US" w:eastAsia="zh-CN"/>
        </w:rPr>
        <w:t xml:space="preserve">7</w:t>
      </w:r>
      <w:r>
        <w:rPr>
          <w:rFonts w:hint="eastAsia" w:ascii="仿宋" w:hAnsi="仿宋" w:eastAsia="仿宋" w:cs="仿宋"/>
          <w:color w:val="auto"/>
          <w:sz w:val="24"/>
        </w:rPr>
        <w:t xml:space="preserve">.00)</w:t>
      </w:r>
      <w:r/>
    </w:p>
    <w:p>
      <w:pPr>
        <w:numPr>
          <w:ilvl w:val="0"/>
          <w:numId w:val="0"/>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注： </w:t>
      </w:r>
      <w:r>
        <w:rPr>
          <w:rFonts w:hint="eastAsia" w:ascii="仿宋" w:hAnsi="仿宋" w:eastAsia="仿宋" w:cs="仿宋"/>
          <w:color w:val="auto"/>
          <w:sz w:val="24"/>
          <w:lang w:eastAsia="zh-CN"/>
        </w:rPr>
        <w:t xml:space="preserve">方案中除缺少相应内容的评审要点不得分外，其它各项评审要点得分不应低于</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lang w:eastAsia="zh-CN"/>
        </w:rPr>
        <w:t xml:space="preserve">0%。</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商务标评分（</w:t>
      </w:r>
      <w:r>
        <w:rPr>
          <w:rFonts w:hint="eastAsia" w:ascii="仿宋" w:hAnsi="仿宋" w:eastAsia="仿宋" w:cs="仿宋"/>
          <w:b/>
          <w:bCs/>
          <w:sz w:val="24"/>
          <w:lang w:val="en-US" w:eastAsia="zh-CN"/>
        </w:rPr>
        <w:t xml:space="preserve">25</w:t>
      </w:r>
      <w:r>
        <w:rPr>
          <w:rFonts w:hint="eastAsia" w:ascii="仿宋" w:hAnsi="仿宋" w:eastAsia="仿宋" w:cs="仿宋"/>
          <w:b/>
          <w:bCs/>
          <w:sz w:val="24"/>
        </w:rPr>
        <w:t xml:space="preserve">分）：</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企业业绩（0-1</w:t>
      </w:r>
      <w:r>
        <w:rPr>
          <w:rFonts w:hint="eastAsia" w:ascii="仿宋" w:hAnsi="仿宋" w:eastAsia="仿宋" w:cs="仿宋"/>
          <w:b/>
          <w:bCs/>
          <w:sz w:val="24"/>
          <w:lang w:val="en-US" w:eastAsia="zh-CN"/>
        </w:rPr>
        <w:t xml:space="preserve">3</w:t>
      </w:r>
      <w:r>
        <w:rPr>
          <w:rFonts w:hint="eastAsia" w:ascii="仿宋" w:hAnsi="仿宋" w:eastAsia="仿宋" w:cs="仿宋"/>
          <w:b/>
          <w:bCs/>
          <w:sz w:val="24"/>
        </w:rPr>
        <w:t xml:space="preserve">分）</w:t>
      </w:r>
      <w:r/>
    </w:p>
    <w:p>
      <w:pPr>
        <w:spacing w:line="360" w:lineRule="auto"/>
        <w:rPr>
          <w:rFonts w:hint="eastAsia" w:ascii="仿宋" w:hAnsi="仿宋" w:eastAsia="仿宋" w:cs="仿宋"/>
          <w:sz w:val="24"/>
        </w:rPr>
      </w:pPr>
      <w:r>
        <w:rPr>
          <w:rFonts w:hint="eastAsia" w:ascii="仿宋" w:hAnsi="仿宋" w:eastAsia="仿宋" w:cs="仿宋"/>
          <w:sz w:val="24"/>
        </w:rPr>
        <w:t xml:space="preserve">1、投</w:t>
      </w:r>
      <w:r>
        <w:rPr>
          <w:rFonts w:hint="eastAsia" w:ascii="仿宋" w:hAnsi="仿宋" w:eastAsia="仿宋" w:cs="仿宋"/>
          <w:color w:val="auto"/>
          <w:sz w:val="24"/>
        </w:rPr>
        <w:t xml:space="preserve">标人自</w:t>
      </w:r>
      <w:r>
        <w:rPr>
          <w:rFonts w:hint="eastAsia" w:ascii="仿宋" w:hAnsi="仿宋" w:eastAsia="仿宋" w:cs="仿宋"/>
          <w:b/>
          <w:bCs/>
          <w:color w:val="auto"/>
          <w:sz w:val="24"/>
        </w:rPr>
        <w:t xml:space="preserve">2020年10月1日</w:t>
      </w:r>
      <w:r>
        <w:rPr>
          <w:rFonts w:hint="eastAsia" w:ascii="仿宋" w:hAnsi="仿宋" w:eastAsia="仿宋" w:cs="仿宋"/>
          <w:color w:val="auto"/>
          <w:sz w:val="24"/>
        </w:rPr>
        <w:t xml:space="preserve">以来（以工程竣工验收意见验收时间为准）承担过地质环境修复或地质灾害治理或矿山生态修复工程项目业绩，每个得分</w:t>
      </w:r>
      <w:r>
        <w:rPr>
          <w:rFonts w:hint="eastAsia" w:ascii="仿宋" w:hAnsi="仿宋" w:eastAsia="仿宋" w:cs="仿宋"/>
          <w:color w:val="auto"/>
          <w:sz w:val="24"/>
          <w:lang w:val="en-US" w:eastAsia="zh-CN"/>
        </w:rPr>
        <w:t xml:space="preserve">2.5</w:t>
      </w:r>
      <w:r>
        <w:rPr>
          <w:rFonts w:hint="eastAsia" w:ascii="仿宋" w:hAnsi="仿宋" w:eastAsia="仿宋" w:cs="仿宋"/>
          <w:color w:val="auto"/>
          <w:sz w:val="24"/>
        </w:rPr>
        <w:t xml:space="preserve">分，本项最高得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w:t>
      </w:r>
      <w:r/>
    </w:p>
    <w:p>
      <w:pPr>
        <w:spacing w:line="360" w:lineRule="auto"/>
        <w:rPr>
          <w:rFonts w:hint="eastAsia" w:ascii="仿宋" w:hAnsi="仿宋" w:eastAsia="仿宋" w:cs="仿宋"/>
          <w:sz w:val="24"/>
        </w:rPr>
      </w:pPr>
      <w:r>
        <w:rPr>
          <w:rFonts w:hint="eastAsia" w:ascii="仿宋" w:hAnsi="仿宋" w:eastAsia="仿宋" w:cs="仿宋"/>
          <w:sz w:val="24"/>
        </w:rPr>
        <w:t xml:space="preserve">2、</w:t>
      </w:r>
      <w:bookmarkStart w:id="37" w:name="OLE_LINK2"/>
      <w:r>
        <w:rPr>
          <w:rFonts w:hint="eastAsia" w:ascii="仿宋" w:hAnsi="仿宋" w:eastAsia="仿宋" w:cs="仿宋"/>
          <w:color w:val="auto"/>
          <w:sz w:val="24"/>
        </w:rPr>
        <w:t xml:space="preserve">以上业绩获得过省级及以上自然资源部门或国土资源部门工程质</w:t>
      </w:r>
      <w:bookmarkEnd w:id="37"/>
      <w:r>
        <w:rPr>
          <w:rFonts w:hint="eastAsia" w:ascii="仿宋" w:hAnsi="仿宋" w:eastAsia="仿宋" w:cs="仿宋"/>
          <w:color w:val="auto"/>
          <w:sz w:val="24"/>
        </w:rPr>
        <w:t xml:space="preserve">量评定优良及以上的，每个得2.5分</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最高得5分</w:t>
      </w:r>
      <w:r>
        <w:rPr>
          <w:rFonts w:hint="eastAsia" w:ascii="仿宋" w:hAnsi="仿宋" w:eastAsia="仿宋" w:cs="仿宋"/>
          <w:color w:val="auto"/>
          <w:sz w:val="24"/>
        </w:rPr>
        <w:t xml:space="preserve">； 获得过设区市级自然资源部门或国土资源部门工程质量评定优良及以上的，每个得1.5分</w:t>
      </w:r>
      <w:bookmarkStart w:id="38" w:name="OLE_LINK3"/>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最高得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w:t>
      </w:r>
      <w:bookmarkEnd w:id="38"/>
      <w:r/>
    </w:p>
    <w:p>
      <w:pPr>
        <w:spacing w:line="360" w:lineRule="auto"/>
        <w:rPr>
          <w:rFonts w:hint="eastAsia" w:ascii="仿宋" w:hAnsi="仿宋" w:eastAsia="仿宋" w:cs="仿宋"/>
          <w:sz w:val="24"/>
        </w:rPr>
      </w:pPr>
      <w:r>
        <w:rPr>
          <w:rFonts w:hint="eastAsia" w:ascii="仿宋" w:hAnsi="仿宋" w:eastAsia="仿宋" w:cs="仿宋"/>
          <w:sz w:val="24"/>
        </w:rPr>
        <w:t xml:space="preserve">注：（1）须提供中标通知书、</w:t>
      </w:r>
      <w:bookmarkStart w:id="39" w:name="OLE_LINK4"/>
      <w:r>
        <w:rPr>
          <w:rFonts w:hint="eastAsia" w:ascii="仿宋" w:hAnsi="仿宋" w:eastAsia="仿宋" w:cs="仿宋"/>
          <w:sz w:val="24"/>
        </w:rPr>
        <w:t xml:space="preserve">施工合同、由组织验收的国土资源部门或自然资源部门或其以上主管部门盖章的工程竣工验收意见书，三者缺一不可。时间以工程竣工验收意见验收时间为准，金额以中标通知书为准。</w:t>
      </w:r>
      <w:r/>
    </w:p>
    <w:p>
      <w:pPr>
        <w:spacing w:line="360" w:lineRule="auto"/>
        <w:rPr>
          <w:rFonts w:hint="eastAsia" w:ascii="仿宋" w:hAnsi="仿宋" w:eastAsia="仿宋" w:cs="仿宋"/>
          <w:sz w:val="24"/>
        </w:rPr>
      </w:pPr>
      <w:r>
        <w:rPr>
          <w:rFonts w:hint="eastAsia" w:ascii="仿宋" w:hAnsi="仿宋" w:eastAsia="仿宋" w:cs="仿宋"/>
          <w:sz w:val="24"/>
        </w:rPr>
        <w:t xml:space="preserve">（2）工程质量评定等级以加盖自然资源部门印章的竣工验收意见为准。</w:t>
      </w:r>
      <w:r/>
    </w:p>
    <w:p>
      <w:pPr>
        <w:spacing w:line="360" w:lineRule="auto"/>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3</w:t>
      </w:r>
      <w:r>
        <w:rPr>
          <w:rFonts w:hint="eastAsia" w:ascii="仿宋" w:hAnsi="仿宋" w:eastAsia="仿宋" w:cs="仿宋"/>
          <w:sz w:val="24"/>
        </w:rPr>
        <w:t xml:space="preserve">）提供的证明材料必须能清晰的表明类似工程的投标人名称、工程规模、工程内容、时间等需要明示的内容，若不能明示，则需提供建设单位书面证明文件，证明文件上需加盖建设单位公章，</w:t>
      </w:r>
      <w:bookmarkEnd w:id="39"/>
      <w:r>
        <w:rPr>
          <w:rFonts w:hint="eastAsia" w:ascii="仿宋" w:hAnsi="仿宋" w:eastAsia="仿宋" w:cs="仿宋"/>
          <w:sz w:val="24"/>
        </w:rPr>
        <w:t xml:space="preserve">否则不予认可。</w:t>
      </w:r>
      <w:r/>
    </w:p>
    <w:p>
      <w:pPr>
        <w:spacing w:line="360" w:lineRule="auto"/>
        <w:rPr>
          <w:rFonts w:hint="eastAsia" w:ascii="仿宋" w:hAnsi="仿宋" w:eastAsia="仿宋" w:cs="仿宋"/>
          <w:b/>
          <w:bCs/>
          <w:color w:val="auto"/>
          <w:sz w:val="24"/>
        </w:rPr>
      </w:pPr>
      <w:r>
        <w:rPr>
          <w:rFonts w:hint="eastAsia" w:ascii="仿宋" w:hAnsi="仿宋" w:eastAsia="仿宋" w:cs="仿宋"/>
          <w:b/>
          <w:bCs/>
          <w:sz w:val="24"/>
        </w:rPr>
        <w:t xml:space="preserve">企业</w:t>
      </w:r>
      <w:bookmarkStart w:id="40" w:name="OLE_LINK1"/>
      <w:r>
        <w:rPr>
          <w:rFonts w:hint="eastAsia" w:ascii="仿宋" w:hAnsi="仿宋" w:eastAsia="仿宋" w:cs="仿宋"/>
          <w:b/>
          <w:bCs/>
          <w:sz w:val="24"/>
        </w:rPr>
        <w:t xml:space="preserve">资信(0-</w:t>
      </w:r>
      <w:r>
        <w:rPr>
          <w:rFonts w:hint="eastAsia" w:ascii="仿宋" w:hAnsi="仿宋" w:eastAsia="仿宋" w:cs="仿宋"/>
          <w:b/>
          <w:bCs/>
          <w:sz w:val="24"/>
          <w:lang w:val="en-US" w:eastAsia="zh-CN"/>
        </w:rPr>
        <w:t xml:space="preserve">12</w:t>
      </w:r>
      <w:r>
        <w:rPr>
          <w:rFonts w:hint="eastAsia" w:ascii="仿宋" w:hAnsi="仿宋" w:eastAsia="仿宋" w:cs="仿宋"/>
          <w:b/>
          <w:bCs/>
          <w:sz w:val="24"/>
        </w:rPr>
        <w:t xml:space="preserve">分)</w:t>
      </w:r>
      <w:bookmarkEnd w:id="40"/>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1、项目技术负责人同时具有</w:t>
      </w:r>
      <w:r>
        <w:rPr>
          <w:rFonts w:hint="eastAsia" w:ascii="仿宋" w:hAnsi="仿宋" w:eastAsia="仿宋" w:cs="仿宋"/>
          <w:b/>
          <w:bCs/>
          <w:color w:val="auto"/>
          <w:sz w:val="24"/>
        </w:rPr>
        <w:t xml:space="preserve">矿业工程专业一级注册建造师、国家注册土木工程师（岩土）注册证书</w:t>
      </w:r>
      <w:r>
        <w:rPr>
          <w:rFonts w:hint="eastAsia" w:ascii="仿宋" w:hAnsi="仿宋" w:eastAsia="仿宋" w:cs="仿宋"/>
          <w:color w:val="auto"/>
          <w:sz w:val="24"/>
        </w:rPr>
        <w:t xml:space="preserve">的，得6分；本项最高得6分。</w:t>
      </w:r>
      <w:r/>
    </w:p>
    <w:p>
      <w:pPr>
        <w:spacing w:line="360" w:lineRule="auto"/>
        <w:rPr>
          <w:rFonts w:hint="eastAsia" w:ascii="仿宋" w:hAnsi="仿宋" w:eastAsia="仿宋" w:cs="仿宋"/>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、本工程拟投入的人员中，除项目负责人、技术负责人外，</w:t>
      </w:r>
      <w:r>
        <w:rPr>
          <w:rFonts w:hint="eastAsia" w:ascii="仿宋" w:hAnsi="仿宋" w:eastAsia="仿宋" w:cs="仿宋"/>
          <w:color w:val="auto"/>
          <w:sz w:val="24"/>
        </w:rPr>
        <w:t xml:space="preserve">具有</w:t>
      </w:r>
      <w:r>
        <w:rPr>
          <w:rFonts w:hint="eastAsia" w:ascii="仿宋" w:hAnsi="仿宋" w:eastAsia="仿宋" w:cs="仿宋"/>
          <w:b/>
          <w:bCs/>
          <w:color w:val="auto"/>
          <w:sz w:val="24"/>
        </w:rPr>
        <w:t xml:space="preserve">水工环、岩土工程</w:t>
      </w:r>
      <w:r>
        <w:rPr>
          <w:rFonts w:hint="eastAsia" w:ascii="仿宋" w:hAnsi="仿宋" w:eastAsia="仿宋" w:cs="仿宋"/>
          <w:color w:val="auto"/>
          <w:sz w:val="24"/>
        </w:rPr>
        <w:t xml:space="preserve">专业技术高级及以上职称的得</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分，每缺少一个专业扣</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分。本项最高得</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分。</w:t>
      </w:r>
      <w:r/>
    </w:p>
    <w:p>
      <w:pPr>
        <w:spacing w:line="360" w:lineRule="auto"/>
        <w:rPr>
          <w:rFonts w:hint="eastAsia" w:ascii="宋体" w:hAnsi="宋体" w:eastAsia="宋体" w:cs="宋体"/>
          <w:sz w:val="24"/>
        </w:rPr>
      </w:pPr>
      <w:r>
        <w:rPr>
          <w:rFonts w:hint="eastAsia" w:ascii="仿宋" w:hAnsi="仿宋" w:eastAsia="仿宋" w:cs="仿宋"/>
          <w:sz w:val="24"/>
        </w:rPr>
        <w:t xml:space="preserve">注：提供职称证书或注册证书、提供在投标单位缴纳的</w:t>
      </w:r>
      <w:r>
        <w:rPr>
          <w:rFonts w:hint="eastAsia" w:ascii="仿宋" w:hAnsi="仿宋" w:eastAsia="仿宋" w:cs="仿宋"/>
          <w:sz w:val="24"/>
          <w:lang w:val="en-US" w:eastAsia="zh-CN"/>
        </w:rPr>
        <w:t xml:space="preserve">2025年6月以来任意一个月的</w:t>
      </w:r>
      <w:r>
        <w:rPr>
          <w:rFonts w:hint="eastAsia" w:ascii="仿宋" w:hAnsi="仿宋" w:eastAsia="仿宋" w:cs="仿宋"/>
          <w:sz w:val="24"/>
        </w:rPr>
        <w:t xml:space="preserve">养老保险证明（加盖社保机构章或社保机构缴费证明电子专用章）等证明材料（高等院校、科研机构、军事管理等部门从事工程设计施工的技术人员、事业单位人员不能提供养老保险缴纳证明的，必须出具相关证明材料）</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sectPr>
          <w:footerReference w:type="default" r:id="rId10"/>
          <w:footnotePr/>
          <w:endnotePr/>
          <w:type w:val="nextPage"/>
          <w:pgSz w:w="11906" w:h="16838" w:orient="portrait"/>
          <w:pgMar w:top="1440" w:right="1417" w:bottom="1440" w:left="1417" w:header="851" w:footer="992" w:gutter="0"/>
          <w:pgNumType w:start="1"/>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34"/>
      <w:r/>
      <w:r/>
    </w:p>
    <w:p>
      <w:pPr>
        <w:numPr>
          <w:ilvl w:val="0"/>
          <w:numId w:val="3"/>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41" w:name="OLE_LINK12"/>
      <w:r>
        <w:rPr>
          <w:rFonts w:hint="eastAsia" w:ascii="仿宋" w:hAnsi="仿宋" w:eastAsia="仿宋" w:cs="仿宋"/>
          <w:b/>
          <w:color w:val="auto"/>
          <w:sz w:val="30"/>
          <w:szCs w:val="30"/>
          <w:highlight w:val="none"/>
          <w:lang w:val="en-US" w:eastAsia="zh-CN"/>
        </w:rPr>
        <w:t xml:space="preserve">项目采购需求</w:t>
      </w:r>
      <w:bookmarkEnd w:id="41"/>
      <w:r/>
      <w:r/>
    </w:p>
    <w:p>
      <w:pPr>
        <w:ind w:firstLine="539"/>
        <w:keepLines w:val="0"/>
        <w:keepNext w:val="0"/>
        <w:pageBreakBefore w:val="0"/>
        <w:spacing w:line="3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39"/>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按盱眙县象山国家矿山公园地质灾害综合治理项目工程设计方案及相关法律法规要求，对治理区局部边坡进行机械和人工削坡、清坡、消除坡面浮石危石后采用主动防护网防护、部分区域砌筑块石挡墙及排水沟完善截排水系统、部分坡面挂网客土喷播绿化、防护栏、围挡等。工程完工后编制竣工报告及相关材料，通过相关文件要求的竣工验收。</w:t>
      </w:r>
      <w:r/>
    </w:p>
    <w:p>
      <w:pPr>
        <w:rPr>
          <w:rFonts w:ascii="仿宋" w:hAnsi="仿宋" w:eastAsia="仿宋" w:cs="仿宋"/>
          <w:color w:val="auto"/>
          <w:sz w:val="22"/>
          <w:szCs w:val="22"/>
          <w:highlight w:val="none"/>
        </w:rPr>
      </w:pPr>
      <w:r>
        <w:rPr>
          <w:rFonts w:ascii="仿宋" w:hAnsi="仿宋" w:eastAsia="仿宋" w:cs="仿宋"/>
          <w:color w:val="auto"/>
          <w:sz w:val="22"/>
          <w:szCs w:val="22"/>
          <w:highlight w:val="none"/>
        </w:rPr>
        <w:br w:type="page" w:clear="all"/>
      </w:r>
      <w:r/>
    </w:p>
    <w:p>
      <w:pPr>
        <w:jc w:val="center"/>
        <w:pageBreakBefore w:val="0"/>
        <w:spacing w:line="380" w:lineRule="exact"/>
        <w:rPr>
          <w:rFonts w:ascii="宋体" w:hAnsi="宋体"/>
          <w:b/>
          <w:color w:val="auto"/>
          <w:sz w:val="30"/>
          <w:szCs w:val="30"/>
          <w:highlight w:val="none"/>
        </w:rPr>
      </w:pPr>
      <w:r>
        <w:rPr>
          <w:rFonts w:hint="eastAsia" w:ascii="宋体" w:hAnsi="宋体" w:cs="宋体"/>
          <w:b/>
          <w:bCs w:val="0"/>
          <w:color w:val="auto"/>
          <w:sz w:val="30"/>
          <w:szCs w:val="30"/>
          <w:highlight w:val="none"/>
          <w:lang w:val="en-US" w:eastAsia="zh-CN"/>
        </w:rPr>
        <w:t xml:space="preserve">第五章</w:t>
      </w:r>
      <w:r>
        <w:rPr>
          <w:rFonts w:hint="eastAsia" w:ascii="宋体" w:hAnsi="宋体" w:eastAsia="宋体" w:cs="宋体"/>
          <w:b/>
          <w:bCs w:val="0"/>
          <w:color w:val="auto"/>
          <w:sz w:val="30"/>
          <w:szCs w:val="30"/>
          <w:highlight w:val="none"/>
        </w:rPr>
        <w:t xml:space="preserve"> 合同格式及条款</w:t>
      </w:r>
      <w:r/>
    </w:p>
    <w:p>
      <w:pPr>
        <w:pStyle w:val="693"/>
        <w:ind w:left="0" w:firstLine="0"/>
        <w:jc w:val="center"/>
        <w:pageBreakBefore w:val="0"/>
        <w:spacing w:before="0" w:after="0" w:line="380" w:lineRule="exact"/>
        <w:rPr>
          <w:rFonts w:hint="default" w:hAnsi="宋体" w:eastAsia="宋体"/>
          <w:color w:val="auto"/>
          <w:sz w:val="24"/>
          <w:szCs w:val="40"/>
          <w:highlight w:val="none"/>
          <w:lang w:val="en-US"/>
        </w:rPr>
      </w:pPr>
      <w:r>
        <w:rPr>
          <w:rFonts w:hint="eastAsia" w:hAnsi="宋体" w:eastAsia="宋体"/>
          <w:color w:val="auto"/>
          <w:sz w:val="24"/>
          <w:szCs w:val="40"/>
          <w:highlight w:val="none"/>
          <w:lang w:val="en-US" w:eastAsia="zh-CN"/>
        </w:rPr>
        <w:t xml:space="preserve">第一部分 合同协议</w:t>
      </w:r>
      <w:r/>
    </w:p>
    <w:p>
      <w:pPr>
        <w:pageBreakBefore w:val="0"/>
        <w:spacing w:line="380" w:lineRule="exact"/>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rPr>
        <w:t xml:space="preserve">发包人（全称）：</w:t>
      </w:r>
      <w:r>
        <w:rPr>
          <w:rFonts w:hint="eastAsia" w:ascii="仿宋" w:hAnsi="仿宋" w:eastAsia="仿宋" w:cs="仿宋"/>
          <w:b/>
          <w:color w:val="auto"/>
          <w:sz w:val="24"/>
          <w:szCs w:val="24"/>
          <w:highlight w:val="none"/>
          <w:u w:val="single"/>
          <w:lang w:val="en-US" w:eastAsia="zh-CN"/>
        </w:rPr>
        <w:t xml:space="preserve">           </w:t>
      </w:r>
      <w:r/>
    </w:p>
    <w:p>
      <w:pPr>
        <w:pageBreakBefore w:val="0"/>
        <w:spacing w:line="380" w:lineRule="exact"/>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rPr>
        <w:t xml:space="preserve">承包人（全称）：</w:t>
      </w:r>
      <w:r>
        <w:rPr>
          <w:rFonts w:hint="eastAsia" w:ascii="仿宋" w:hAnsi="仿宋" w:eastAsia="仿宋" w:cs="仿宋"/>
          <w:b/>
          <w:color w:val="auto"/>
          <w:sz w:val="24"/>
          <w:szCs w:val="24"/>
          <w:highlight w:val="none"/>
          <w:u w:val="single"/>
          <w:lang w:val="en-US" w:eastAsia="zh-CN"/>
        </w:rPr>
        <w:t xml:space="preserve">           </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w:t>
      </w:r>
      <w:r>
        <w:rPr>
          <w:rFonts w:hint="eastAsia" w:ascii="仿宋" w:hAnsi="仿宋" w:eastAsia="仿宋" w:cs="仿宋"/>
          <w:color w:val="auto"/>
          <w:sz w:val="24"/>
          <w:szCs w:val="24"/>
          <w:highlight w:val="none"/>
          <w:lang w:val="en-US" w:eastAsia="zh-CN"/>
        </w:rPr>
        <w:t xml:space="preserve">民法典》《</w:t>
      </w:r>
      <w:r>
        <w:rPr>
          <w:rFonts w:hint="eastAsia" w:ascii="仿宋" w:hAnsi="仿宋" w:eastAsia="仿宋" w:cs="仿宋"/>
          <w:color w:val="auto"/>
          <w:sz w:val="24"/>
          <w:szCs w:val="24"/>
          <w:highlight w:val="none"/>
        </w:rPr>
        <w:t xml:space="preserve">中华人民共和国建筑法》及有关法律规定，遵循平等、自愿、公平和诚实信用的原则，双方就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项目</w:t>
      </w:r>
      <w:r>
        <w:rPr>
          <w:rFonts w:hint="eastAsia" w:ascii="仿宋" w:hAnsi="仿宋" w:eastAsia="仿宋" w:cs="仿宋"/>
          <w:color w:val="auto"/>
          <w:sz w:val="24"/>
          <w:szCs w:val="24"/>
          <w:highlight w:val="none"/>
        </w:rPr>
        <w:t xml:space="preserve">及有关事项协商一致，共同达成如下协议：</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42" w:name="_Toc351203481"/>
      <w:r>
        <w:rPr>
          <w:rFonts w:hint="eastAsia" w:ascii="仿宋" w:hAnsi="仿宋" w:eastAsia="仿宋" w:cs="仿宋"/>
          <w:b w:val="0"/>
          <w:color w:val="auto"/>
          <w:sz w:val="24"/>
          <w:szCs w:val="24"/>
          <w:highlight w:val="none"/>
          <w:lang w:eastAsia="zh-CN"/>
        </w:rPr>
        <w:t xml:space="preserve">一、工程概况</w:t>
      </w:r>
      <w:bookmarkEnd w:id="42"/>
      <w:r/>
      <w:r/>
    </w:p>
    <w:p>
      <w:pPr>
        <w:ind w:firstLine="480"/>
        <w:pageBreakBefore w:val="0"/>
        <w:spacing w:line="380" w:lineRule="exact"/>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 xml:space="preserve">1.工程名称</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2.工程地点：</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3.资金来源：</w:t>
      </w:r>
      <w:r>
        <w:rPr>
          <w:rFonts w:hint="eastAsia" w:ascii="仿宋" w:hAnsi="仿宋" w:eastAsia="仿宋" w:cs="仿宋"/>
          <w:bCs/>
          <w:color w:val="auto"/>
          <w:sz w:val="24"/>
          <w:szCs w:val="24"/>
          <w:highlight w:val="none"/>
          <w:u w:val="single"/>
          <w:lang w:val="en-US" w:eastAsia="zh-CN"/>
        </w:rPr>
        <w:t xml:space="preserve">已落实</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w:t>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4.工程内容：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5.工程承包范围：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pStyle w:val="694"/>
        <w:ind w:firstLine="480"/>
        <w:pageBreakBefore w:val="0"/>
        <w:spacing w:before="0" w:after="0" w:line="380" w:lineRule="exact"/>
        <w:rPr>
          <w:rFonts w:hint="eastAsia" w:ascii="仿宋" w:hAnsi="仿宋" w:eastAsia="仿宋" w:cs="仿宋"/>
          <w:b w:val="0"/>
          <w:color w:val="auto"/>
          <w:sz w:val="24"/>
          <w:szCs w:val="24"/>
          <w:highlight w:val="none"/>
          <w:lang w:eastAsia="zh-CN"/>
        </w:rPr>
      </w:pPr>
      <w:r/>
      <w:bookmarkStart w:id="43" w:name="_Toc351203482"/>
      <w:r>
        <w:rPr>
          <w:rFonts w:hint="eastAsia" w:ascii="仿宋" w:hAnsi="仿宋" w:eastAsia="仿宋" w:cs="仿宋"/>
          <w:b w:val="0"/>
          <w:color w:val="auto"/>
          <w:sz w:val="24"/>
          <w:szCs w:val="24"/>
          <w:highlight w:val="none"/>
          <w:lang w:eastAsia="zh-CN"/>
        </w:rPr>
        <w:t xml:space="preserve">二、合同工期</w:t>
      </w:r>
      <w:bookmarkEnd w:id="43"/>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月   日。</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月   日。</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日历天。工期总日历天数与根据前述计划开竣工日期计算的工期天数不一致的，以工期总日历天数为准。</w:t>
      </w:r>
      <w:r/>
    </w:p>
    <w:p>
      <w:pPr>
        <w:pStyle w:val="694"/>
        <w:numPr>
          <w:ilvl w:val="0"/>
          <w:numId w:val="4"/>
        </w:numPr>
        <w:ind w:firstLine="480"/>
        <w:pageBreakBefore w:val="0"/>
        <w:spacing w:before="0" w:after="0" w:line="380" w:lineRule="exact"/>
        <w:rPr>
          <w:rFonts w:hint="eastAsia" w:ascii="仿宋" w:hAnsi="仿宋" w:eastAsia="仿宋" w:cs="仿宋"/>
          <w:color w:val="auto"/>
          <w:sz w:val="24"/>
          <w:szCs w:val="24"/>
          <w:highlight w:val="none"/>
        </w:rPr>
      </w:pPr>
      <w:r/>
      <w:bookmarkStart w:id="44" w:name="_Toc351203483"/>
      <w:r>
        <w:rPr>
          <w:rFonts w:hint="eastAsia" w:ascii="仿宋" w:hAnsi="仿宋" w:eastAsia="仿宋" w:cs="仿宋"/>
          <w:b w:val="0"/>
          <w:color w:val="auto"/>
          <w:sz w:val="24"/>
          <w:szCs w:val="24"/>
          <w:highlight w:val="none"/>
          <w:lang w:eastAsia="zh-CN"/>
        </w:rPr>
        <w:t xml:space="preserve">质量标准</w:t>
      </w:r>
      <w:bookmarkEnd w:id="44"/>
      <w:r>
        <w:rPr>
          <w:rFonts w:hint="eastAsia" w:ascii="仿宋" w:hAnsi="仿宋" w:eastAsia="仿宋" w:cs="仿宋"/>
          <w:b w:val="0"/>
          <w:color w:val="auto"/>
          <w:sz w:val="24"/>
          <w:szCs w:val="24"/>
          <w:highlight w:val="none"/>
          <w:lang w:eastAsia="zh-CN"/>
        </w:rPr>
        <w:t xml:space="preserve">：</w:t>
      </w:r>
      <w:bookmarkStart w:id="45" w:name="_Toc351203484"/>
      <w:r>
        <w:rPr>
          <w:rFonts w:hint="eastAsia" w:ascii="仿宋" w:hAnsi="仿宋" w:eastAsia="仿宋" w:cs="仿宋"/>
          <w:color w:val="auto"/>
          <w:sz w:val="24"/>
          <w:szCs w:val="24"/>
          <w:highlight w:val="none"/>
          <w:lang w:val="en-US" w:eastAsia="zh-CN"/>
        </w:rPr>
        <w:t xml:space="preserve">合格</w:t>
      </w:r>
      <w:r/>
    </w:p>
    <w:p>
      <w:pPr>
        <w:pStyle w:val="694"/>
        <w:numPr>
          <w:ilvl w:val="0"/>
          <w:numId w:val="0"/>
        </w:numPr>
        <w:ind w:firstLine="480"/>
        <w:pageBreakBefore w:val="0"/>
        <w:spacing w:before="0" w:after="0" w:line="380" w:lineRule="exact"/>
        <w:rPr>
          <w:rFonts w:hint="eastAsia" w:ascii="仿宋" w:hAnsi="仿宋" w:eastAsia="仿宋" w:cs="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四、签约合同价与合同价格形式</w:t>
      </w:r>
      <w:bookmarkEnd w:id="45"/>
      <w:r>
        <w:rPr>
          <w:rFonts w:hint="eastAsia" w:ascii="仿宋" w:hAnsi="仿宋" w:eastAsia="仿宋" w:cs="仿宋"/>
          <w:b w:val="0"/>
          <w:color w:val="auto"/>
          <w:sz w:val="24"/>
          <w:szCs w:val="24"/>
          <w:highlight w:val="none"/>
          <w:lang w:eastAsia="zh-CN"/>
        </w:rPr>
        <w:tab/>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1.签约合同价为：</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lang w:val="en-US" w:eastAsia="zh-CN"/>
        </w:rPr>
        <w:t xml:space="preserve">固定单价</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pStyle w:val="694"/>
        <w:ind w:firstLine="480"/>
        <w:pageBreakBefore w:val="0"/>
        <w:spacing w:before="0" w:after="0" w:line="380" w:lineRule="exact"/>
        <w:rPr>
          <w:rFonts w:hint="eastAsia" w:ascii="仿宋" w:hAnsi="仿宋" w:eastAsia="仿宋" w:cs="仿宋"/>
          <w:b w:val="0"/>
          <w:color w:val="auto"/>
          <w:sz w:val="24"/>
          <w:szCs w:val="24"/>
          <w:highlight w:val="none"/>
          <w:lang w:eastAsia="zh-CN"/>
        </w:rPr>
      </w:pPr>
      <w:r/>
      <w:bookmarkStart w:id="46" w:name="_Toc351203485"/>
      <w:r>
        <w:rPr>
          <w:rFonts w:hint="eastAsia" w:ascii="仿宋" w:hAnsi="仿宋" w:eastAsia="仿宋" w:cs="仿宋"/>
          <w:b w:val="0"/>
          <w:color w:val="auto"/>
          <w:sz w:val="24"/>
          <w:szCs w:val="24"/>
          <w:highlight w:val="none"/>
          <w:lang w:eastAsia="zh-CN"/>
        </w:rPr>
        <w:t xml:space="preserve">五、</w:t>
      </w:r>
      <w:bookmarkEnd w:id="46"/>
      <w:r>
        <w:rPr>
          <w:rFonts w:hint="eastAsia" w:ascii="仿宋" w:hAnsi="仿宋" w:eastAsia="仿宋" w:cs="仿宋"/>
          <w:b w:val="0"/>
          <w:color w:val="auto"/>
          <w:sz w:val="24"/>
          <w:szCs w:val="24"/>
          <w:highlight w:val="none"/>
          <w:lang w:eastAsia="zh-CN"/>
        </w:rPr>
        <w:t xml:space="preserve">项目经理</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47" w:name="_Toc351203486"/>
      <w:r>
        <w:rPr>
          <w:rFonts w:hint="eastAsia" w:ascii="仿宋" w:hAnsi="仿宋" w:eastAsia="仿宋" w:cs="仿宋"/>
          <w:b w:val="0"/>
          <w:color w:val="auto"/>
          <w:sz w:val="24"/>
          <w:szCs w:val="24"/>
          <w:highlight w:val="none"/>
          <w:lang w:eastAsia="zh-CN"/>
        </w:rPr>
        <w:t xml:space="preserve">六、合同文件构成</w:t>
      </w:r>
      <w:bookmarkEnd w:id="47"/>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本协议书与下列文件一起构成合同文件：</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（1）中标通知书（如果有）；</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（5）已标价工程量清单或预算书；</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（6）其他合同文件。</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694"/>
        <w:ind w:firstLine="480"/>
        <w:pageBreakBefore w:val="0"/>
        <w:spacing w:before="0" w:after="0" w:line="380" w:lineRule="exact"/>
        <w:rPr>
          <w:rFonts w:hint="eastAsia" w:ascii="仿宋" w:hAnsi="仿宋" w:eastAsia="仿宋" w:cs="仿宋"/>
          <w:b w:val="0"/>
          <w:color w:val="auto"/>
          <w:sz w:val="24"/>
          <w:szCs w:val="24"/>
          <w:highlight w:val="none"/>
          <w:lang w:eastAsia="zh-CN"/>
        </w:rPr>
      </w:pPr>
      <w:r/>
      <w:bookmarkStart w:id="48" w:name="_Toc351203487"/>
      <w:r>
        <w:rPr>
          <w:rFonts w:hint="eastAsia" w:ascii="仿宋" w:hAnsi="仿宋" w:eastAsia="仿宋" w:cs="仿宋"/>
          <w:b w:val="0"/>
          <w:color w:val="auto"/>
          <w:sz w:val="24"/>
          <w:szCs w:val="24"/>
          <w:highlight w:val="none"/>
          <w:lang w:eastAsia="zh-CN"/>
        </w:rPr>
        <w:t xml:space="preserve">七、承诺</w:t>
      </w:r>
      <w:bookmarkEnd w:id="48"/>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1.发包人承诺按照法律规定履行项目审批手续、筹集工程建设资金并按照合同约定的期限和方式支付合同价款。</w:t>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3.发包人和承包人通过招投标形式签订合同的，双方理解并承诺不再就同一工程另行签订与合同实质性内容相背离的协议。</w:t>
      </w:r>
      <w:r/>
    </w:p>
    <w:p>
      <w:pPr>
        <w:pStyle w:val="694"/>
        <w:ind w:firstLine="480"/>
        <w:pageBreakBefore w:val="0"/>
        <w:spacing w:before="0" w:after="0" w:line="380" w:lineRule="exact"/>
        <w:rPr>
          <w:rFonts w:hint="eastAsia" w:ascii="仿宋" w:hAnsi="仿宋" w:eastAsia="仿宋" w:cs="仿宋"/>
          <w:b w:val="0"/>
          <w:color w:val="auto"/>
          <w:sz w:val="24"/>
          <w:szCs w:val="24"/>
          <w:highlight w:val="none"/>
          <w:lang w:eastAsia="zh-CN"/>
        </w:rPr>
      </w:pPr>
      <w:r/>
      <w:bookmarkStart w:id="49" w:name="_Toc351203488"/>
      <w:r>
        <w:rPr>
          <w:rFonts w:hint="eastAsia" w:ascii="仿宋" w:hAnsi="仿宋" w:eastAsia="仿宋" w:cs="仿宋"/>
          <w:b w:val="0"/>
          <w:color w:val="auto"/>
          <w:sz w:val="24"/>
          <w:szCs w:val="24"/>
          <w:highlight w:val="none"/>
          <w:lang w:eastAsia="zh-CN"/>
        </w:rPr>
        <w:t xml:space="preserve">八、词语含义</w:t>
      </w:r>
      <w:bookmarkEnd w:id="49"/>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本协议书中词语含义与第二部分通用合同条款中赋予的含义相同。</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50" w:name="_Toc351203489"/>
      <w:r>
        <w:rPr>
          <w:rFonts w:hint="eastAsia" w:ascii="仿宋" w:hAnsi="仿宋" w:eastAsia="仿宋" w:cs="仿宋"/>
          <w:b w:val="0"/>
          <w:color w:val="auto"/>
          <w:sz w:val="24"/>
          <w:szCs w:val="24"/>
          <w:highlight w:val="none"/>
          <w:lang w:eastAsia="zh-CN"/>
        </w:rPr>
        <w:t xml:space="preserve">九、签订时间</w:t>
      </w:r>
      <w:bookmarkEnd w:id="50"/>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日签订。</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51" w:name="_Toc351203490"/>
      <w:r>
        <w:rPr>
          <w:rFonts w:hint="eastAsia" w:ascii="仿宋" w:hAnsi="仿宋" w:eastAsia="仿宋" w:cs="仿宋"/>
          <w:b w:val="0"/>
          <w:color w:val="auto"/>
          <w:sz w:val="24"/>
          <w:szCs w:val="24"/>
          <w:highlight w:val="none"/>
          <w:lang w:eastAsia="zh-CN"/>
        </w:rPr>
        <w:t xml:space="preserve">十、签订地点</w:t>
      </w:r>
      <w:bookmarkEnd w:id="51"/>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本合同在</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u w:val="single"/>
          <w:lang w:val="en-US" w:eastAsia="zh-CN"/>
        </w:rPr>
        <w:t xml:space="preserve">盱眙</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签订。</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52" w:name="_Toc351203491"/>
      <w:r>
        <w:rPr>
          <w:rFonts w:hint="eastAsia" w:ascii="仿宋" w:hAnsi="仿宋" w:eastAsia="仿宋" w:cs="仿宋"/>
          <w:b w:val="0"/>
          <w:color w:val="auto"/>
          <w:sz w:val="24"/>
          <w:szCs w:val="24"/>
          <w:highlight w:val="none"/>
          <w:lang w:eastAsia="zh-CN"/>
        </w:rPr>
        <w:t xml:space="preserve">十一、补充协议</w:t>
      </w:r>
      <w:bookmarkEnd w:id="52"/>
      <w:r/>
      <w:r/>
    </w:p>
    <w:p>
      <w:pPr>
        <w:ind w:firstLine="480"/>
        <w:pageBreakBefore w:val="0"/>
        <w:spacing w:line="380" w:lineRule="exact"/>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53" w:name="_Toc351203492"/>
      <w:r>
        <w:rPr>
          <w:rFonts w:hint="eastAsia" w:ascii="仿宋" w:hAnsi="仿宋" w:eastAsia="仿宋" w:cs="仿宋"/>
          <w:b w:val="0"/>
          <w:color w:val="auto"/>
          <w:sz w:val="24"/>
          <w:szCs w:val="24"/>
          <w:highlight w:val="none"/>
          <w:lang w:eastAsia="zh-CN"/>
        </w:rPr>
        <w:t xml:space="preserve">十二、合同生效</w:t>
      </w:r>
      <w:bookmarkEnd w:id="53"/>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本合同自发包人、承包人签字盖章后生效。</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54" w:name="_Toc351203493"/>
      <w:r>
        <w:rPr>
          <w:rFonts w:hint="eastAsia" w:ascii="仿宋" w:hAnsi="仿宋" w:eastAsia="仿宋" w:cs="仿宋"/>
          <w:b w:val="0"/>
          <w:color w:val="auto"/>
          <w:sz w:val="24"/>
          <w:szCs w:val="24"/>
          <w:highlight w:val="none"/>
          <w:lang w:eastAsia="zh-CN"/>
        </w:rPr>
        <w:t xml:space="preserve">十三、合同份数</w:t>
      </w:r>
      <w:bookmarkEnd w:id="54"/>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w:t>
      </w:r>
      <w:r>
        <w:rPr>
          <w:rFonts w:hint="eastAsia" w:ascii="仿宋" w:hAnsi="仿宋" w:eastAsia="仿宋" w:cs="仿宋"/>
          <w:bCs/>
          <w:color w:val="auto"/>
          <w:sz w:val="24"/>
          <w:szCs w:val="24"/>
          <w:highlight w:val="none"/>
          <w:lang w:eastAsia="zh-CN"/>
        </w:rPr>
        <w:t xml:space="preserve">一式</w:t>
      </w:r>
      <w:r>
        <w:rPr>
          <w:rFonts w:hint="eastAsia" w:ascii="仿宋" w:hAnsi="仿宋" w:eastAsia="仿宋" w:cs="仿宋"/>
          <w:bCs/>
          <w:color w:val="auto"/>
          <w:sz w:val="24"/>
          <w:szCs w:val="24"/>
          <w:highlight w:val="none"/>
          <w:lang w:val="en-US" w:eastAsia="zh-CN"/>
        </w:rPr>
        <w:t xml:space="preserve">五</w:t>
      </w:r>
      <w:r>
        <w:rPr>
          <w:rFonts w:hint="eastAsia" w:ascii="仿宋" w:hAnsi="仿宋" w:eastAsia="仿宋" w:cs="仿宋"/>
          <w:bCs/>
          <w:color w:val="auto"/>
          <w:sz w:val="24"/>
          <w:szCs w:val="24"/>
          <w:highlight w:val="none"/>
          <w:lang w:eastAsia="zh-CN"/>
        </w:rPr>
        <w:t xml:space="preserve">份</w:t>
      </w:r>
      <w:r>
        <w:rPr>
          <w:rFonts w:hint="eastAsia" w:ascii="仿宋" w:hAnsi="仿宋" w:eastAsia="仿宋" w:cs="仿宋"/>
          <w:bCs/>
          <w:color w:val="auto"/>
          <w:sz w:val="24"/>
          <w:szCs w:val="24"/>
          <w:highlight w:val="none"/>
        </w:rPr>
        <w:t xml:space="preserve">，均具有同等法律效力，发包人执贰份，承包人执</w:t>
      </w:r>
      <w:r>
        <w:rPr>
          <w:rFonts w:hint="eastAsia" w:ascii="仿宋" w:hAnsi="仿宋" w:eastAsia="仿宋" w:cs="仿宋"/>
          <w:bCs/>
          <w:color w:val="auto"/>
          <w:sz w:val="24"/>
          <w:szCs w:val="24"/>
          <w:highlight w:val="none"/>
          <w:lang w:val="en-US" w:eastAsia="zh-CN"/>
        </w:rPr>
        <w:t xml:space="preserve">二</w:t>
      </w:r>
      <w:r>
        <w:rPr>
          <w:rFonts w:hint="eastAsia" w:ascii="仿宋" w:hAnsi="仿宋" w:eastAsia="仿宋" w:cs="仿宋"/>
          <w:bCs/>
          <w:color w:val="auto"/>
          <w:sz w:val="24"/>
          <w:szCs w:val="24"/>
          <w:highlight w:val="none"/>
        </w:rPr>
        <w:t xml:space="preserve">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代理机构资料存档一份</w:t>
      </w:r>
      <w:r>
        <w:rPr>
          <w:rFonts w:hint="eastAsia" w:ascii="仿宋" w:hAnsi="仿宋" w:eastAsia="仿宋" w:cs="仿宋"/>
          <w:bCs/>
          <w:color w:val="auto"/>
          <w:sz w:val="24"/>
          <w:szCs w:val="24"/>
          <w:highlight w:val="none"/>
        </w:rPr>
        <w:t xml:space="preserve">。</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lang w:eastAsia="zh-CN"/>
        </w:rPr>
        <w:t xml:space="preserve">）</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            法定代表人或其委托代理人：</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（签字或盖章）                       （签字或盖章）</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电话：</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                                账号：</w:t>
      </w:r>
      <w:r/>
    </w:p>
    <w:p>
      <w:pPr>
        <w:ind w:firstLine="720"/>
        <w:pageBreakBefore w:val="0"/>
        <w:spacing w:line="380" w:lineRule="exact"/>
        <w:rPr>
          <w:rFonts w:hint="eastAsia" w:ascii="仿宋" w:hAnsi="仿宋" w:eastAsia="仿宋" w:cs="仿宋"/>
          <w:color w:val="auto"/>
          <w:sz w:val="24"/>
          <w:szCs w:val="24"/>
          <w:highlight w:val="none"/>
          <w:lang w:val="en-US" w:eastAsia="zh-CN"/>
        </w:rPr>
      </w:pPr>
      <w:r/>
      <w:bookmarkStart w:id="55" w:name="_Toc498006745"/>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p>
    <w:p>
      <w:pPr>
        <w:pStyle w:val="716"/>
        <w:jc w:val="center"/>
        <w:pageBreakBefore w:val="0"/>
        <w:spacing w:line="3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第二部分 通用合同条款</w:t>
      </w:r>
      <w:bookmarkEnd w:id="55"/>
      <w:r/>
      <w:r/>
    </w:p>
    <w:p>
      <w:pPr>
        <w:jc w:val="center"/>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采用《建设工程施工合同（示范文本）》（GF</w:t>
      </w:r>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2017</w:t>
      </w:r>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0201）</w:t>
      </w:r>
      <w:bookmarkStart w:id="56" w:name="_Toc498006746"/>
      <w:r/>
      <w:r/>
    </w:p>
    <w:p>
      <w:pPr>
        <w:pStyle w:val="693"/>
        <w:jc w:val="center"/>
        <w:pageBreakBefore w:val="0"/>
        <w:spacing w:before="0" w:after="0"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第三部分 专用合同条款</w:t>
      </w:r>
      <w:bookmarkEnd w:id="56"/>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57" w:name="_Toc351203633"/>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1</w:t>
      </w:r>
      <w:bookmarkStart w:id="58" w:name="_Toc297048342"/>
      <w:r/>
      <w:bookmarkStart w:id="59" w:name="_Toc296891196"/>
      <w:r/>
      <w:bookmarkStart w:id="60" w:name="_Toc296346657"/>
      <w:r/>
      <w:bookmarkStart w:id="61" w:name="_Toc296347155"/>
      <w:r/>
      <w:bookmarkStart w:id="62" w:name="_Toc296944495"/>
      <w:r/>
      <w:bookmarkStart w:id="63" w:name="_Toc292559866"/>
      <w:r/>
      <w:bookmarkStart w:id="64" w:name="_Toc296890984"/>
      <w:r/>
      <w:bookmarkStart w:id="65" w:name="_Toc296503156"/>
      <w:r/>
      <w:bookmarkStart w:id="66" w:name="_Toc292559361"/>
      <w:r/>
      <w:bookmarkStart w:id="67" w:name="_Toc297120456"/>
      <w:r>
        <w:rPr>
          <w:rFonts w:hint="eastAsia" w:ascii="仿宋" w:hAnsi="仿宋" w:eastAsia="仿宋" w:cs="仿宋"/>
          <w:color w:val="auto"/>
          <w:sz w:val="24"/>
          <w:szCs w:val="24"/>
          <w:highlight w:val="none"/>
          <w:lang w:eastAsia="zh-CN"/>
        </w:rPr>
        <w:t xml:space="preserve">. 一般约定</w:t>
      </w:r>
      <w:bookmarkEnd w:id="57"/>
      <w:r/>
      <w:bookmarkEnd w:id="58"/>
      <w:r/>
      <w:bookmarkEnd w:id="59"/>
      <w:r/>
      <w:bookmarkEnd w:id="60"/>
      <w:r/>
      <w:bookmarkEnd w:id="61"/>
      <w:r/>
      <w:bookmarkEnd w:id="62"/>
      <w:r/>
      <w:bookmarkEnd w:id="63"/>
      <w:r/>
      <w:bookmarkEnd w:id="64"/>
      <w:r/>
      <w:bookmarkEnd w:id="65"/>
      <w:r/>
      <w:bookmarkEnd w:id="66"/>
      <w:r/>
      <w:bookmarkEnd w:id="67"/>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1.1 词语定义</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1.1.1.10其他合同文件包括：</w:t>
      </w:r>
      <w:r>
        <w:rPr>
          <w:rFonts w:hint="eastAsia" w:ascii="仿宋" w:hAnsi="仿宋" w:eastAsia="仿宋" w:cs="仿宋"/>
          <w:color w:val="auto"/>
          <w:sz w:val="24"/>
          <w:szCs w:val="24"/>
          <w:highlight w:val="none"/>
          <w:u w:val="single"/>
        </w:rPr>
        <w:t xml:space="preserve">  1、本合同协议书及补充协议； 2、中标通知书；3、本合同专用条款；4、招标文件及其附件；5、投标文件及其附件；6、本合同通用条款 ；7、标准、规范及有关技术文件、技术要求；8、施工图纸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合同当事人及其他相关方</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监理人：</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设计人：</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工程和设备</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作为施工现场组成部分的其他场所包括：</w:t>
      </w:r>
      <w:r>
        <w:rPr>
          <w:rFonts w:hint="eastAsia" w:ascii="仿宋" w:hAnsi="仿宋" w:eastAsia="仿宋" w:cs="仿宋"/>
          <w:color w:val="auto"/>
          <w:sz w:val="24"/>
          <w:szCs w:val="24"/>
          <w:highlight w:val="none"/>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永久占地包括：</w:t>
      </w:r>
      <w:r>
        <w:rPr>
          <w:rFonts w:hint="eastAsia" w:ascii="仿宋" w:hAnsi="仿宋" w:eastAsia="仿宋" w:cs="仿宋"/>
          <w:color w:val="auto"/>
          <w:sz w:val="24"/>
          <w:szCs w:val="24"/>
          <w:highlight w:val="none"/>
          <w:u w:val="single"/>
        </w:rPr>
        <w:t xml:space="preserve">依据设计图纸确定</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临时占地包括：</w:t>
      </w:r>
      <w:r>
        <w:rPr>
          <w:rFonts w:hint="eastAsia" w:ascii="仿宋" w:hAnsi="仿宋" w:eastAsia="仿宋" w:cs="仿宋"/>
          <w:color w:val="auto"/>
          <w:sz w:val="24"/>
          <w:szCs w:val="24"/>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1.3法律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中华人民共和国民法典》《</w:t>
      </w:r>
      <w:r>
        <w:rPr>
          <w:rFonts w:hint="eastAsia" w:ascii="仿宋" w:hAnsi="仿宋" w:eastAsia="仿宋" w:cs="仿宋"/>
          <w:color w:val="auto"/>
          <w:sz w:val="24"/>
          <w:szCs w:val="24"/>
          <w:highlight w:val="none"/>
          <w:u w:val="single"/>
        </w:rPr>
        <w:t xml:space="preserve">招投标法</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中华人民共和国建筑法</w:t>
      </w:r>
      <w:r>
        <w:rPr>
          <w:rFonts w:hint="eastAsia" w:ascii="仿宋" w:hAnsi="仿宋" w:eastAsia="仿宋" w:cs="仿宋"/>
          <w:color w:val="auto"/>
          <w:sz w:val="24"/>
          <w:szCs w:val="24"/>
          <w:highlight w:val="none"/>
          <w:u w:val="single"/>
          <w:lang w:eastAsia="zh-CN"/>
        </w:rPr>
        <w:t xml:space="preserve">》《建设工程质量管理条例</w:t>
      </w:r>
      <w:r>
        <w:rPr>
          <w:rFonts w:hint="eastAsia" w:ascii="仿宋" w:hAnsi="仿宋" w:eastAsia="仿宋" w:cs="仿宋"/>
          <w:color w:val="auto"/>
          <w:sz w:val="24"/>
          <w:szCs w:val="24"/>
          <w:highlight w:val="none"/>
          <w:u w:val="single"/>
        </w:rPr>
        <w:t xml:space="preserve">》等</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标准和规范</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1.4.1适用于工程的标准规范包括：</w:t>
      </w:r>
      <w:r>
        <w:rPr>
          <w:rFonts w:hint="eastAsia" w:ascii="仿宋" w:hAnsi="仿宋" w:eastAsia="仿宋" w:cs="仿宋"/>
          <w:color w:val="auto"/>
          <w:sz w:val="24"/>
          <w:szCs w:val="24"/>
          <w:highlight w:val="none"/>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1.4.2 发包人提供国外标准、规范的名称：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发包人提供国外标准、规范的份数：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发包人提供国外标准、规范的名称：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1.4.3发包人对工程的技术标准和功能要求的特殊要求：</w:t>
      </w:r>
      <w:r>
        <w:rPr>
          <w:rFonts w:hint="eastAsia" w:ascii="仿宋" w:hAnsi="仿宋" w:eastAsia="仿宋" w:cs="仿宋"/>
          <w:color w:val="auto"/>
          <w:sz w:val="24"/>
          <w:szCs w:val="24"/>
          <w:highlight w:val="none"/>
          <w:u w:val="single"/>
        </w:rPr>
        <w:t xml:space="preserve"> 按国家标准同时符合强制性规范验收要求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1.5 合同文件的优先顺序</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rPr>
        <w:t xml:space="preserve">中标通知书、投标函及其附录、招标文件、投标文件、专用合同条款及其附件、通用合同条款、技术标准和要求、图纸、已标价的工程量清单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1.6 图纸和承包人文件</w:t>
      </w:r>
      <w:r>
        <w:rPr>
          <w:rFonts w:hint="eastAsia" w:ascii="仿宋" w:hAnsi="仿宋" w:eastAsia="仿宋" w:cs="仿宋"/>
          <w:color w:val="auto"/>
          <w:sz w:val="24"/>
          <w:szCs w:val="24"/>
          <w:highlight w:val="none"/>
        </w:rPr>
        <w:tab/>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图纸的提供</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t xml:space="preserve">开工前14日内</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提供全套施工图或施工说明2套，如承包人需增加图纸份数，由承包人向设计单位购买或自行复制，费用由承包人承担</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 全套 施工图纸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承包人文件</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  投标文件（电子版及打印同时装订成册的投标文件、投标报价软件版计价文件电子版</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  签订合同 2 天内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  一套电子版投标文件、一套软件版计价文件、投标文件装订成册二套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   书面形式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   签订合同 2 天内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现场图纸准备</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监理人、承包人在施工场地各保存一套完整的图纸和承包人文件</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1.7 联络</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1.7.1发包人和承包人应当在天内将与合同有关的通知、批准、证明、证书、指示、指令、要求、请求、同意、意见、确定和决定等书面函件送达对方当事人。</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 发包人接收文件的地点：</w:t>
      </w:r>
      <w:r>
        <w:rPr>
          <w:rFonts w:hint="eastAsia" w:ascii="仿宋" w:hAnsi="仿宋" w:eastAsia="仿宋" w:cs="仿宋"/>
          <w:color w:val="auto"/>
          <w:sz w:val="24"/>
          <w:szCs w:val="24"/>
          <w:highlight w:val="none"/>
          <w:u w:val="single"/>
        </w:rPr>
        <w:t xml:space="preserve">项目所在地发包人项目部</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rPr>
          <w:rFonts w:hint="eastAsia" w:ascii="仿宋" w:hAnsi="仿宋" w:eastAsia="仿宋" w:cs="仿宋"/>
          <w:color w:val="auto"/>
          <w:sz w:val="24"/>
          <w:szCs w:val="24"/>
          <w:highlight w:val="none"/>
          <w:u w:val="single"/>
        </w:rPr>
        <w:t xml:space="preserve">发包人代表</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项目所在地承包人项目部</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rPr>
          <w:rFonts w:hint="eastAsia" w:ascii="仿宋" w:hAnsi="仿宋" w:eastAsia="仿宋" w:cs="仿宋"/>
          <w:color w:val="auto"/>
          <w:sz w:val="24"/>
          <w:szCs w:val="24"/>
          <w:highlight w:val="none"/>
          <w:u w:val="single"/>
        </w:rPr>
        <w:t xml:space="preserve">承包人项目经理</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项目所在地监理人办公室</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rPr>
          <w:rFonts w:hint="eastAsia" w:ascii="仿宋" w:hAnsi="仿宋" w:eastAsia="仿宋" w:cs="仿宋"/>
          <w:color w:val="auto"/>
          <w:sz w:val="24"/>
          <w:szCs w:val="24"/>
          <w:highlight w:val="none"/>
          <w:u w:val="single"/>
        </w:rPr>
        <w:t xml:space="preserve">监理工程师</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8" w:name="_Toc14538"/>
      <w:r/>
      <w:bookmarkStart w:id="69" w:name="_Toc1749"/>
      <w:r/>
      <w:bookmarkStart w:id="70" w:name="_Toc318581157"/>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交通运输</w:t>
      </w:r>
      <w:bookmarkEnd w:id="68"/>
      <w:r/>
      <w:bookmarkEnd w:id="69"/>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71" w:name="_Toc11558"/>
      <w:r/>
      <w:bookmarkStart w:id="72" w:name="_Toc17634"/>
      <w:r>
        <w:rPr>
          <w:rFonts w:hint="eastAsia" w:ascii="仿宋" w:hAnsi="仿宋" w:eastAsia="仿宋" w:cs="仿宋"/>
          <w:color w:val="auto"/>
          <w:sz w:val="24"/>
          <w:szCs w:val="24"/>
          <w:highlight w:val="none"/>
        </w:rPr>
        <w:t xml:space="preserve">1</w:t>
      </w:r>
      <w:bookmarkStart w:id="73" w:name="_Toc312677986"/>
      <w:r/>
      <w:bookmarkStart w:id="74" w:name="_Toc318581155"/>
      <w:r/>
      <w:bookmarkStart w:id="75" w:name="_Toc303539100"/>
      <w:r/>
      <w:bookmarkStart w:id="76" w:name="_Toc300934943"/>
      <w:r/>
      <w:bookmarkStart w:id="77" w:name="_Toc304295521"/>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 出入现场的权利</w:t>
      </w:r>
      <w:bookmarkEnd w:id="71"/>
      <w:r/>
      <w:bookmarkEnd w:id="72"/>
      <w:r/>
      <w:r/>
    </w:p>
    <w:p>
      <w:pPr>
        <w:ind w:left="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由承包人按发包人要求负责取得出入施工现场所需的批准手续和全部权利，以及取得因施工所需修建道路以及其他基础设施的权利，相关手续费用和建设费用</w:t>
      </w:r>
      <w:r>
        <w:rPr>
          <w:rFonts w:hint="eastAsia" w:ascii="仿宋" w:hAnsi="仿宋" w:eastAsia="仿宋" w:cs="仿宋"/>
          <w:color w:val="auto"/>
          <w:sz w:val="24"/>
          <w:szCs w:val="24"/>
          <w:highlight w:val="none"/>
          <w:u w:val="single"/>
          <w:lang w:eastAsia="zh-CN"/>
        </w:rPr>
        <w:t xml:space="preserve">，由</w:t>
      </w:r>
      <w:r>
        <w:rPr>
          <w:rFonts w:hint="eastAsia" w:ascii="仿宋" w:hAnsi="仿宋" w:eastAsia="仿宋" w:cs="仿宋"/>
          <w:color w:val="auto"/>
          <w:sz w:val="24"/>
          <w:szCs w:val="24"/>
          <w:highlight w:val="none"/>
          <w:u w:val="single"/>
        </w:rPr>
        <w:t xml:space="preserve">承包人已投标时综合考虑，已包含在发包价内。发包人不再予以额外补偿</w:t>
      </w:r>
      <w:r>
        <w:rPr>
          <w:rFonts w:hint="eastAsia" w:ascii="仿宋" w:hAnsi="仿宋" w:eastAsia="仿宋" w:cs="仿宋"/>
          <w:color w:val="auto"/>
          <w:sz w:val="24"/>
          <w:szCs w:val="24"/>
          <w:highlight w:val="none"/>
        </w:rPr>
        <w:t xml:space="preserve">。</w:t>
      </w:r>
      <w:bookmarkEnd w:id="73"/>
      <w:r/>
      <w:bookmarkEnd w:id="74"/>
      <w:r/>
      <w:bookmarkEnd w:id="75"/>
      <w:r/>
      <w:bookmarkEnd w:id="76"/>
      <w:r/>
      <w:bookmarkEnd w:id="77"/>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78" w:name="_Toc23298"/>
      <w:r/>
      <w:bookmarkStart w:id="79" w:name="_Toc11813"/>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场内交通</w:t>
      </w:r>
      <w:bookmarkEnd w:id="78"/>
      <w:r/>
      <w:bookmarkEnd w:id="79"/>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以规划红线为界</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按现状，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超大件和超重件的运输</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运输超大件或超重件所需的道路和桥梁临时加固改造费用和其他有关费用由承担。</w:t>
      </w:r>
      <w:bookmarkEnd w:id="70"/>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80" w:name="_Toc19332"/>
      <w:r/>
      <w:bookmarkStart w:id="81" w:name="_Toc29204"/>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 知识产权</w:t>
      </w:r>
      <w:bookmarkEnd w:id="80"/>
      <w:r/>
      <w:bookmarkEnd w:id="81"/>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发包人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未</w:t>
      </w:r>
      <w:r>
        <w:rPr>
          <w:rFonts w:hint="eastAsia" w:ascii="仿宋" w:hAnsi="仿宋" w:eastAsia="仿宋" w:cs="仿宋"/>
          <w:color w:val="auto"/>
          <w:sz w:val="24"/>
          <w:szCs w:val="24"/>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82" w:name="_Toc24001"/>
      <w:r/>
      <w:bookmarkStart w:id="83" w:name="_Toc18045"/>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.2 关于承包人为实施工程所编制文件的著作权的归属：</w:t>
      </w:r>
      <w:r>
        <w:rPr>
          <w:rFonts w:hint="eastAsia" w:ascii="仿宋" w:hAnsi="仿宋" w:eastAsia="仿宋" w:cs="仿宋"/>
          <w:color w:val="auto"/>
          <w:sz w:val="24"/>
          <w:szCs w:val="24"/>
          <w:highlight w:val="none"/>
          <w:u w:val="single"/>
        </w:rPr>
        <w:t xml:space="preserve"> 发包人</w:t>
      </w:r>
      <w:r>
        <w:rPr>
          <w:rFonts w:hint="eastAsia" w:ascii="仿宋" w:hAnsi="仿宋" w:eastAsia="仿宋" w:cs="仿宋"/>
          <w:color w:val="auto"/>
          <w:sz w:val="24"/>
          <w:szCs w:val="24"/>
          <w:highlight w:val="none"/>
        </w:rPr>
        <w:t xml:space="preserve">。</w:t>
      </w:r>
      <w:bookmarkEnd w:id="82"/>
      <w:r/>
      <w:bookmarkEnd w:id="83"/>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按通用合同条款执行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按通用合同条款执行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工程量清单错误的修正</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出现工程量清单错误时，是否调整合同价格：</w:t>
      </w:r>
      <w:r>
        <w:rPr>
          <w:rFonts w:hint="eastAsia" w:ascii="仿宋" w:hAnsi="仿宋" w:eastAsia="仿宋" w:cs="仿宋"/>
          <w:color w:val="auto"/>
          <w:sz w:val="24"/>
          <w:szCs w:val="24"/>
          <w:highlight w:val="none"/>
          <w:u w:val="single"/>
        </w:rPr>
        <w:t xml:space="preserve">不调整综合单价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color w:val="auto"/>
          <w:sz w:val="24"/>
          <w:szCs w:val="24"/>
          <w:highlight w:val="none"/>
          <w:u w:val="single"/>
        </w:rPr>
        <w:t xml:space="preserve"> 工程量按实计算，</w:t>
      </w:r>
      <w:r>
        <w:rPr>
          <w:rFonts w:hint="eastAsia" w:ascii="仿宋" w:hAnsi="仿宋" w:eastAsia="仿宋" w:cs="仿宋"/>
          <w:color w:val="auto"/>
          <w:sz w:val="24"/>
          <w:szCs w:val="24"/>
          <w:highlight w:val="none"/>
          <w:u w:val="single"/>
          <w:lang w:eastAsia="zh-CN"/>
        </w:rPr>
        <w:t xml:space="preserve">合同</w:t>
      </w:r>
      <w:r>
        <w:rPr>
          <w:rFonts w:hint="eastAsia" w:ascii="仿宋" w:hAnsi="仿宋" w:eastAsia="仿宋" w:cs="仿宋"/>
          <w:color w:val="auto"/>
          <w:sz w:val="24"/>
          <w:szCs w:val="24"/>
          <w:highlight w:val="none"/>
          <w:u w:val="single"/>
        </w:rPr>
        <w:t xml:space="preserve">投标报价（人工、材料、机械、管理费、利润以及各项措施项目费用 </w:t>
      </w:r>
      <w:r>
        <w:rPr>
          <w:rFonts w:hint="eastAsia" w:ascii="仿宋" w:hAnsi="仿宋" w:eastAsia="仿宋" w:cs="仿宋"/>
          <w:color w:val="auto"/>
          <w:sz w:val="24"/>
          <w:szCs w:val="24"/>
          <w:highlight w:val="none"/>
        </w:rPr>
        <w:t xml:space="preserve">。</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84" w:name="_Toc351203634"/>
      <w:r>
        <w:rPr>
          <w:rFonts w:hint="eastAsia" w:ascii="仿宋" w:hAnsi="仿宋" w:eastAsia="仿宋" w:cs="仿宋"/>
          <w:color w:val="auto"/>
          <w:sz w:val="24"/>
          <w:szCs w:val="24"/>
          <w:highlight w:val="none"/>
          <w:lang w:eastAsia="zh-CN"/>
        </w:rPr>
        <w:t xml:space="preserve">2</w:t>
      </w:r>
      <w:bookmarkStart w:id="85" w:name="_Toc296890985"/>
      <w:r/>
      <w:bookmarkStart w:id="86" w:name="_Toc297048343"/>
      <w:r/>
      <w:bookmarkStart w:id="87" w:name="_Toc292559867"/>
      <w:r/>
      <w:bookmarkStart w:id="88" w:name="_Toc297120457"/>
      <w:r/>
      <w:bookmarkStart w:id="89" w:name="_Toc292559362"/>
      <w:r/>
      <w:bookmarkStart w:id="90" w:name="_Toc296944496"/>
      <w:r/>
      <w:bookmarkStart w:id="91" w:name="_Toc296891197"/>
      <w:r/>
      <w:bookmarkStart w:id="92" w:name="_Toc296346658"/>
      <w:r/>
      <w:bookmarkStart w:id="93" w:name="_Toc296347156"/>
      <w:r/>
      <w:bookmarkStart w:id="94" w:name="_Toc296503157"/>
      <w:r>
        <w:rPr>
          <w:rFonts w:hint="eastAsia" w:ascii="仿宋" w:hAnsi="仿宋" w:eastAsia="仿宋" w:cs="仿宋"/>
          <w:color w:val="auto"/>
          <w:sz w:val="24"/>
          <w:szCs w:val="24"/>
          <w:highlight w:val="none"/>
          <w:lang w:eastAsia="zh-CN"/>
        </w:rPr>
        <w:t xml:space="preserve">. 发包人</w:t>
      </w:r>
      <w:bookmarkEnd w:id="84"/>
      <w:r/>
      <w:bookmarkEnd w:id="85"/>
      <w:r/>
      <w:bookmarkEnd w:id="86"/>
      <w:r/>
      <w:bookmarkEnd w:id="87"/>
      <w:r/>
      <w:bookmarkEnd w:id="88"/>
      <w:r/>
      <w:bookmarkEnd w:id="89"/>
      <w:r/>
      <w:bookmarkEnd w:id="90"/>
      <w:r/>
      <w:bookmarkEnd w:id="91"/>
      <w:r/>
      <w:bookmarkEnd w:id="92"/>
      <w:r/>
      <w:bookmarkEnd w:id="93"/>
      <w:r/>
      <w:bookmarkEnd w:id="94"/>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发包人代表</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对监理单位和承包人的工作进行监督、协调及外部组织协调</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对不称职的监理、施工人员的更换权</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施工现场、施工条件和基础资料的提供</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 提供施工现场</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none"/>
        </w:rPr>
        <w:t xml:space="preserve">开工日期前15天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 提供施工条件</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（1）施工现场具备施工条件的要求及完成时间：已完成。</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本工程所需施工用电由发包人提供供电接口，从供电接口至施工现场所产生的一切费用及施工中应承担的电费和电损费用由承包人承担。</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（3）施工场地与公共道路的通道开通时间和要求：  已开通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（4）工程地质和地下管网线资料的提供时间：开工前一周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（7）图纸会审和设计交底时间：开工前。</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协调处理施工场地周围地下管线和邻近建筑物、构筑物（含文物保护建筑）、古树名木的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资金来源证明及支付担保</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不提供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不提供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95" w:name="_Toc351203635"/>
      <w:r>
        <w:rPr>
          <w:rFonts w:hint="eastAsia" w:ascii="仿宋" w:hAnsi="仿宋" w:eastAsia="仿宋" w:cs="仿宋"/>
          <w:color w:val="auto"/>
          <w:sz w:val="24"/>
          <w:szCs w:val="24"/>
          <w:highlight w:val="none"/>
          <w:lang w:eastAsia="zh-CN"/>
        </w:rPr>
        <w:t xml:space="preserve">3</w:t>
      </w:r>
      <w:bookmarkStart w:id="96" w:name="_Toc292559868"/>
      <w:r/>
      <w:bookmarkStart w:id="97" w:name="_Toc296503158"/>
      <w:r/>
      <w:bookmarkStart w:id="98" w:name="_Toc297120458"/>
      <w:r/>
      <w:bookmarkStart w:id="99" w:name="_Toc296346659"/>
      <w:r/>
      <w:bookmarkStart w:id="100" w:name="_Toc296890986"/>
      <w:r/>
      <w:bookmarkStart w:id="101" w:name="_Toc296347157"/>
      <w:r/>
      <w:bookmarkStart w:id="102" w:name="_Toc297048344"/>
      <w:r/>
      <w:bookmarkStart w:id="103" w:name="_Toc292559363"/>
      <w:r/>
      <w:bookmarkStart w:id="104" w:name="_Toc296891198"/>
      <w:r/>
      <w:bookmarkStart w:id="105" w:name="_Toc296944497"/>
      <w:r>
        <w:rPr>
          <w:rFonts w:hint="eastAsia" w:ascii="仿宋" w:hAnsi="仿宋" w:eastAsia="仿宋" w:cs="仿宋"/>
          <w:color w:val="auto"/>
          <w:sz w:val="24"/>
          <w:szCs w:val="24"/>
          <w:highlight w:val="none"/>
          <w:lang w:eastAsia="zh-CN"/>
        </w:rPr>
        <w:t xml:space="preserve">. 承包人</w:t>
      </w:r>
      <w:bookmarkEnd w:id="95"/>
      <w:r/>
      <w:bookmarkEnd w:id="96"/>
      <w:r/>
      <w:bookmarkEnd w:id="97"/>
      <w:r/>
      <w:bookmarkEnd w:id="98"/>
      <w:r/>
      <w:bookmarkEnd w:id="99"/>
      <w:r/>
      <w:bookmarkEnd w:id="100"/>
      <w:r/>
      <w:bookmarkEnd w:id="101"/>
      <w:r/>
      <w:bookmarkEnd w:id="102"/>
      <w:r/>
      <w:bookmarkEnd w:id="103"/>
      <w:r/>
      <w:bookmarkEnd w:id="104"/>
      <w:r/>
      <w:bookmarkEnd w:id="105"/>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承包人的一般义务</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（1）承包人提交的竣工资料的内容：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中标通知书、招标文件、投标文件、合同及协议附件、竣工图纸、变更签证、竣工结算书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   2套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   施工单位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t xml:space="preserve">申报工程竣工验收之前由承包人负责整理和提交竣工资料（包括竣工图）报相关部门验收</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若因承包人提供的竣工资料延误或所报材料不符合要求影响正常工程竣工验收</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导致发包人的工程不能按期交付或投入使用</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无论哪项拖延，均视为承包人违约</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承包人按每拖延一天 1000元向发包人支付违约金</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并且发包人保留进一步向承包人索赔补偿不足部分的权利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  书面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numPr>
          <w:ilvl w:val="0"/>
          <w:numId w:val="5"/>
        </w:num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（2）承包人应履行的其他义务：</w:t>
      </w:r>
      <w:r>
        <w:rPr>
          <w:rFonts w:hint="eastAsia" w:ascii="仿宋" w:hAnsi="仿宋" w:eastAsia="仿宋" w:cs="仿宋"/>
          <w:color w:val="auto"/>
          <w:sz w:val="24"/>
          <w:szCs w:val="24"/>
          <w:highlight w:val="none"/>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numPr>
          <w:ilvl w:val="0"/>
          <w:numId w:val="5"/>
        </w:num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（3）承包人必须遵守江苏省及淮安市、盱眙县行业主管部门的相关规定，服从行业主管部门的管理，凡</w:t>
      </w:r>
      <w:r>
        <w:rPr>
          <w:rFonts w:hint="eastAsia" w:ascii="仿宋" w:hAnsi="仿宋" w:eastAsia="仿宋" w:cs="仿宋"/>
          <w:color w:val="auto"/>
          <w:sz w:val="24"/>
          <w:szCs w:val="24"/>
          <w:highlight w:val="none"/>
          <w:u w:val="single"/>
          <w:lang w:eastAsia="zh-CN"/>
        </w:rPr>
        <w:t xml:space="preserve">涉及</w:t>
      </w:r>
      <w:r>
        <w:rPr>
          <w:rFonts w:hint="eastAsia" w:ascii="仿宋" w:hAnsi="仿宋" w:eastAsia="仿宋" w:cs="仿宋"/>
          <w:color w:val="auto"/>
          <w:sz w:val="24"/>
          <w:szCs w:val="24"/>
          <w:highlight w:val="none"/>
          <w:u w:val="single"/>
        </w:rPr>
        <w:t xml:space="preserve">承包人的安全监督、质量监督、施工备案、车辆准运等有关证、照，均由承包人自行办理，发包人给予配合，发生的费用全部由承包人承担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w:t>
      </w:r>
      <w:r>
        <w:rPr>
          <w:rFonts w:hint="eastAsia" w:ascii="仿宋" w:hAnsi="仿宋" w:eastAsia="仿宋" w:cs="仿宋"/>
          <w:color w:val="auto"/>
          <w:sz w:val="24"/>
          <w:szCs w:val="24"/>
          <w:highlight w:val="none"/>
          <w:u w:val="single"/>
          <w:lang w:eastAsia="zh-CN"/>
        </w:rPr>
        <w:t xml:space="preserve">涉及的</w:t>
      </w:r>
      <w:r>
        <w:rPr>
          <w:rFonts w:hint="eastAsia" w:ascii="仿宋" w:hAnsi="仿宋" w:eastAsia="仿宋" w:cs="仿宋"/>
          <w:color w:val="auto"/>
          <w:sz w:val="24"/>
          <w:szCs w:val="24"/>
          <w:highlight w:val="none"/>
          <w:u w:val="single"/>
        </w:rPr>
        <w:t xml:space="preserve">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（5）承包人所报价格应包含其自身分包引起的各项增加的或额外的费用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（6）承包人加强工程施工车辆的管理，施工车辆不得无故堵塞道路交通，不得沿途</w:t>
      </w:r>
      <w:r>
        <w:rPr>
          <w:rFonts w:hint="eastAsia" w:ascii="仿宋" w:hAnsi="仿宋" w:eastAsia="仿宋" w:cs="仿宋"/>
          <w:color w:val="auto"/>
          <w:sz w:val="24"/>
          <w:szCs w:val="24"/>
          <w:highlight w:val="none"/>
          <w:u w:val="single"/>
          <w:lang w:eastAsia="zh-CN"/>
        </w:rPr>
        <w:t xml:space="preserve">抛撒</w:t>
      </w:r>
      <w:r>
        <w:rPr>
          <w:rFonts w:hint="eastAsia" w:ascii="仿宋" w:hAnsi="仿宋" w:eastAsia="仿宋" w:cs="仿宋"/>
          <w:color w:val="auto"/>
          <w:sz w:val="24"/>
          <w:szCs w:val="24"/>
          <w:highlight w:val="none"/>
          <w:u w:val="single"/>
        </w:rPr>
        <w:t xml:space="preserve">弃土，并根据发包人的要求，安排人员在主要路口疏导车辆、行人交通，其费用由承包人负责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（7）承包人必须对施工现场临时用水、用电工作，进行统一管理，包括但不限于以下内容：</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③承包人应充分考虑用电负荷控制和漏电保护，否则承担一切损失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④承包人的自行分包项目，其使用水电由承包人自行解决与管理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⑤承包人应该充分考虑为各专业承包人提供足额的用水量，否则造成重新从总水源接水的费用由承包人承担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⑥如因城市供电、供水部门等非发包人原因导致的停电、停水超出国家、省、市相关规定，承包人可提出合理工期索赔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⑦临时水电设施的拆除必须征得监理工程师与发包人的批准，拆除后的临时水、电设施由承包人自行处理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①设置、维修和管理临时排污系统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②每天保持施工道路的畅通与清洁，负责保养及维修进入工地施工区域道路，费用由承包人承担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③收集和处理所有施工现场和生活区域内的所有垃圾，直到竣工交付为止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④承包人应按发包人要求，按规定做好场内道路硬化、布置各项标识、标牌、便于检查、视察或参观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⑤竣工交付时应将其排污设施全部拆除并清理至发包人满意，承包人承担其相应的费用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（9）在现场施工中，承包人应负责自身施工区域与公共区域的安全设施的搭设与维修管理工作，以及为安全检查所进行的管理、协调、配合工作等。</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（12）承包人必须立刻执行发包人派驻的工程师</w:t>
      </w:r>
      <w:r>
        <w:rPr>
          <w:rFonts w:hint="eastAsia" w:ascii="仿宋" w:hAnsi="仿宋" w:eastAsia="仿宋" w:cs="仿宋"/>
          <w:color w:val="auto"/>
          <w:sz w:val="24"/>
          <w:szCs w:val="24"/>
          <w:highlight w:val="none"/>
          <w:u w:val="single"/>
          <w:lang w:eastAsia="zh-CN"/>
        </w:rPr>
        <w:t xml:space="preserve">或</w:t>
      </w:r>
      <w:r>
        <w:rPr>
          <w:rFonts w:hint="eastAsia" w:ascii="仿宋" w:hAnsi="仿宋" w:eastAsia="仿宋" w:cs="仿宋"/>
          <w:color w:val="auto"/>
          <w:sz w:val="24"/>
          <w:szCs w:val="24"/>
          <w:highlight w:val="none"/>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仿宋" w:hAnsi="仿宋" w:eastAsia="仿宋" w:cs="仿宋"/>
          <w:color w:val="auto"/>
          <w:sz w:val="24"/>
          <w:szCs w:val="24"/>
          <w:highlight w:val="none"/>
          <w:u w:val="single"/>
          <w:lang w:eastAsia="zh-CN"/>
        </w:rPr>
        <w:t xml:space="preserve">将</w:t>
      </w:r>
      <w:r>
        <w:rPr>
          <w:rFonts w:hint="eastAsia" w:ascii="仿宋" w:hAnsi="仿宋" w:eastAsia="仿宋" w:cs="仿宋"/>
          <w:color w:val="auto"/>
          <w:sz w:val="24"/>
          <w:szCs w:val="24"/>
          <w:highlight w:val="none"/>
          <w:u w:val="single"/>
        </w:rPr>
        <w:t xml:space="preserve">付给承包人的款项中扣除而无须承包人认可，由此造成发包人额外损失或间接损失的，作为债务向承包人追讨 。</w:t>
      </w:r>
      <w:r/>
    </w:p>
    <w:p>
      <w:pPr>
        <w:ind w:left="0" w:firstLine="480"/>
        <w:pageBreakBefore w:val="0"/>
        <w:spacing w:line="380" w:lineRule="exact"/>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 xml:space="preserve">（13）承包人必须签收监理工程师发出的书面资料，如有异议必须在收文之日起3日内书面回复，否则视同认可</w:t>
      </w:r>
      <w:r>
        <w:rPr>
          <w:rFonts w:hint="eastAsia" w:ascii="仿宋" w:hAnsi="仿宋" w:eastAsia="仿宋" w:cs="仿宋"/>
          <w:color w:val="auto"/>
          <w:sz w:val="24"/>
          <w:szCs w:val="24"/>
          <w:highlight w:val="none"/>
          <w:u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①承包人负责上述整个项目的现场管理、工期控制、各专业工程间协调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②承包人负责制定上述整个项目的施工总进度计划、总施工组织设计、执行监理人的有关指令，圆满解决施工、验收中的所有问题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③承包人必须负责将专业工程项目的施工单位纳入总承包管理之中，对其进度、质量、安全等进行管理，确保按时、按</w:t>
      </w:r>
      <w:r>
        <w:rPr>
          <w:rFonts w:hint="eastAsia" w:ascii="仿宋" w:hAnsi="仿宋" w:eastAsia="仿宋" w:cs="仿宋"/>
          <w:color w:val="auto"/>
          <w:sz w:val="24"/>
          <w:szCs w:val="24"/>
          <w:highlight w:val="none"/>
          <w:u w:val="single"/>
          <w:lang w:eastAsia="zh-CN"/>
        </w:rPr>
        <w:t xml:space="preserve">质地</w:t>
      </w:r>
      <w:r>
        <w:rPr>
          <w:rFonts w:hint="eastAsia" w:ascii="仿宋" w:hAnsi="仿宋" w:eastAsia="仿宋" w:cs="仿宋"/>
          <w:color w:val="auto"/>
          <w:sz w:val="24"/>
          <w:szCs w:val="24"/>
          <w:highlight w:val="none"/>
          <w:u w:val="single"/>
        </w:rPr>
        <w:t xml:space="preserve">完成上述整个项目内所有专业工程项目。具体责任包括但不限于如下列举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a.配合专业工程的施工，包括提供施工场地和工作面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b.承担施工界面交接处产生的缺陷修补及收头处理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d.负责向专业工程单位，按届时的现场条件提供已有的垂直运输机械、脚手架的使用方便，且不得向其收取任何额外的费用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e.督查和落实专业工程单位严格</w:t>
      </w:r>
      <w:r>
        <w:rPr>
          <w:rFonts w:hint="eastAsia" w:ascii="仿宋" w:hAnsi="仿宋" w:eastAsia="仿宋" w:cs="仿宋"/>
          <w:color w:val="auto"/>
          <w:sz w:val="24"/>
          <w:szCs w:val="24"/>
          <w:highlight w:val="none"/>
          <w:u w:val="single"/>
          <w:lang w:eastAsia="zh-CN"/>
        </w:rPr>
        <w:t xml:space="preserve">按照</w:t>
      </w:r>
      <w:r>
        <w:rPr>
          <w:rFonts w:hint="eastAsia" w:ascii="仿宋" w:hAnsi="仿宋" w:eastAsia="仿宋" w:cs="仿宋"/>
          <w:color w:val="auto"/>
          <w:sz w:val="24"/>
          <w:szCs w:val="24"/>
          <w:highlight w:val="none"/>
          <w:u w:val="single"/>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f.按照国家和地方颁布的工程质量标准、规范，有针对性地落实工程各阶段、各专业的质量管理措施，督查专业工程单位严格执行，确保工程达到本合同要求的质量目标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g.督促和检查专业工程单位按发包人的要求整理各类施工及竣工</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包括竣工图</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的工程技术资料编制，并负责收集整理、汇总本工程施工过程中的有关图纸、技术资料和其他各类工程档案文件资料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h.督查专业工程单位落实产品保护工作。设置足够的为产品保护所需的人力及其他必要的临设，以确保已完工程的完好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16）承包人应协调处理扰民与</w:t>
      </w:r>
      <w:r>
        <w:rPr>
          <w:rFonts w:hint="eastAsia" w:ascii="仿宋" w:hAnsi="仿宋" w:eastAsia="仿宋" w:cs="仿宋"/>
          <w:color w:val="auto"/>
          <w:sz w:val="24"/>
          <w:szCs w:val="24"/>
          <w:highlight w:val="none"/>
          <w:u w:val="single"/>
          <w:lang w:eastAsia="zh-CN"/>
        </w:rPr>
        <w:t xml:space="preserve">扰民</w:t>
      </w:r>
      <w:r>
        <w:rPr>
          <w:rFonts w:hint="eastAsia" w:ascii="仿宋" w:hAnsi="仿宋" w:eastAsia="仿宋" w:cs="仿宋"/>
          <w:color w:val="auto"/>
          <w:sz w:val="24"/>
          <w:szCs w:val="24"/>
          <w:highlight w:val="none"/>
          <w:u w:val="single"/>
        </w:rPr>
        <w:t xml:space="preserve">问题，非发包人原因引发的一切纠纷由承包人自行解决，发包人不承担任何责任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18）现场项目部环境和职业健康安全管理制度</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①承包人须对本工程的环境因素和危险源进行识别，编制项目的《环境因素辨识清单》 和《危险源辨识清单》，并识别出其中的重大环境因素和重大危险源。</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2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②</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《环境因素辨识清单》和《危险源辨识清单》应报监理部备案。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3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③</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针对识别出的重大环境因素和重大危险源，承包人须编制管理方案，报发包人、监理 单位批准后实施。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4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④</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承包人须识别出本工程在环境和职业健康安全方面的应急事件，针对应急事件编制 《应急预案》，组织应急演习。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①承包人应按国家、江苏省及淮安市政府有关文件要求建立健全劳动保障制度，按时发放员工工资（</w:t>
      </w:r>
      <w:r>
        <w:rPr>
          <w:rFonts w:hint="eastAsia" w:ascii="仿宋" w:hAnsi="仿宋" w:eastAsia="仿宋" w:cs="仿宋"/>
          <w:color w:val="auto"/>
          <w:sz w:val="24"/>
          <w:szCs w:val="24"/>
          <w:highlight w:val="none"/>
          <w:u w:val="single"/>
          <w:lang w:eastAsia="zh-CN"/>
        </w:rPr>
        <w:t xml:space="preserve">含农</w:t>
      </w:r>
      <w:r>
        <w:rPr>
          <w:rFonts w:hint="eastAsia" w:ascii="仿宋" w:hAnsi="仿宋" w:eastAsia="仿宋" w:cs="仿宋"/>
          <w:color w:val="auto"/>
          <w:sz w:val="24"/>
          <w:szCs w:val="24"/>
          <w:highlight w:val="none"/>
          <w:u w:val="single"/>
        </w:rPr>
        <w:t xml:space="preserve">民工工资），承包人同时必须严格执行中华人民共和国劳动保障部和中华人民共和国建设部联合下发的《建设领域农民工工资支付管理暂行办法》，及时足额发放农民工工资。</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2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②</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承包人不得与监理人串通损害发包人利益，不得为监理人或其派驻现场的监理人员提供合同约定以外的通讯设备、交通工具，不得向监理人员支付报酬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3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③</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4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④</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承包人应积极主动核对图纸中的路面标高、坐标、宽度、厚度、坡度、尺寸等技术数据，充分理解设计意图，积极配合发包人组织的施工图纸交底及会审工作，指</w:t>
      </w:r>
      <w:r>
        <w:rPr>
          <w:rFonts w:hint="eastAsia" w:ascii="仿宋" w:hAnsi="仿宋" w:eastAsia="仿宋" w:cs="仿宋"/>
          <w:color w:val="auto"/>
          <w:sz w:val="24"/>
          <w:szCs w:val="24"/>
          <w:highlight w:val="none"/>
          <w:u w:val="single"/>
        </w:rPr>
        <w:t xml:space="preserve">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5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在履行合同过程中，承包人应执行国家和地方的法律法</w:t>
      </w:r>
      <w:r>
        <w:rPr>
          <w:rFonts w:hint="eastAsia" w:ascii="仿宋" w:hAnsi="仿宋" w:eastAsia="仿宋" w:cs="仿宋"/>
          <w:color w:val="auto"/>
          <w:sz w:val="24"/>
          <w:szCs w:val="24"/>
          <w:highlight w:val="none"/>
          <w:u w:val="single"/>
          <w:lang w:eastAsia="zh-CN"/>
        </w:rPr>
        <w:t xml:space="preserve">规和</w:t>
      </w:r>
      <w:r>
        <w:rPr>
          <w:rFonts w:hint="eastAsia" w:ascii="仿宋" w:hAnsi="仿宋" w:eastAsia="仿宋" w:cs="仿宋"/>
          <w:color w:val="auto"/>
          <w:sz w:val="24"/>
          <w:szCs w:val="24"/>
          <w:highlight w:val="none"/>
          <w:u w:val="single"/>
        </w:rPr>
        <w:t xml:space="preserve">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注：上述相关费用由承包人在投标时自行考虑，已包含在发包价内。施工期间发生的该类一切费用发包人不予补偿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项目经理</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项目经理：</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承包人对项目经理的授权范围如下</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不少于 22 天</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承包人未提交劳动合同，以及没有为项目经理缴纳社会保险证明的违约责任</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每发现一次</w:t>
      </w:r>
      <w:r>
        <w:rPr>
          <w:rFonts w:hint="eastAsia" w:ascii="仿宋" w:hAnsi="仿宋" w:eastAsia="仿宋" w:cs="仿宋"/>
          <w:color w:val="auto"/>
          <w:sz w:val="24"/>
          <w:szCs w:val="24"/>
          <w:highlight w:val="none"/>
          <w:u w:val="single"/>
          <w:lang w:eastAsia="zh-CN"/>
        </w:rPr>
        <w:t xml:space="preserve">罚</w:t>
      </w:r>
      <w:r>
        <w:rPr>
          <w:rFonts w:hint="eastAsia" w:ascii="仿宋" w:hAnsi="仿宋" w:eastAsia="仿宋" w:cs="仿宋"/>
          <w:color w:val="auto"/>
          <w:sz w:val="24"/>
          <w:szCs w:val="24"/>
          <w:highlight w:val="none"/>
          <w:u w:val="single"/>
        </w:rPr>
        <w:t xml:space="preserve">中标价的 1%（以三次为限），直至解除合同</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承包人擅自更换项目经理的违约责任：</w:t>
      </w:r>
      <w:r>
        <w:rPr>
          <w:rFonts w:hint="eastAsia" w:ascii="仿宋" w:hAnsi="仿宋" w:eastAsia="仿宋" w:cs="仿宋"/>
          <w:color w:val="auto"/>
          <w:sz w:val="24"/>
          <w:szCs w:val="24"/>
          <w:highlight w:val="none"/>
          <w:u w:val="single"/>
        </w:rPr>
        <w:t xml:space="preserve">罚中标价 10%直至解除合同</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3.2.4 承包人无正当理由拒绝更换项目经理的违约责任：</w:t>
      </w:r>
      <w:r>
        <w:rPr>
          <w:rFonts w:hint="eastAsia" w:ascii="仿宋" w:hAnsi="仿宋" w:eastAsia="仿宋" w:cs="仿宋"/>
          <w:color w:val="auto"/>
          <w:sz w:val="24"/>
          <w:szCs w:val="24"/>
          <w:highlight w:val="none"/>
          <w:u w:val="single"/>
        </w:rPr>
        <w:t xml:space="preserve">中标价10%直至解除合同</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承包人人员</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承包人提交项目管理机构及施工现场管理人员安排报告的期限：承包人人员</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承包人无正当理由拒绝撤换主要施工管理人员的违约责任：</w:t>
      </w:r>
      <w:r>
        <w:rPr>
          <w:rFonts w:hint="eastAsia" w:ascii="仿宋" w:hAnsi="仿宋" w:eastAsia="仿宋" w:cs="仿宋"/>
          <w:color w:val="auto"/>
          <w:sz w:val="24"/>
          <w:szCs w:val="24"/>
          <w:highlight w:val="none"/>
          <w:u w:val="single"/>
        </w:rPr>
        <w:t xml:space="preserve">承包人拒绝更换的，发包人有权解除合同，追究由此带来的发包人一切损失，且承包人应承担合同价千分之二/人•次的违约金</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承包人主要施工管理人员离开施工现场的批准要求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承包人擅自更换主要施工管理人员的违约责任： </w:t>
      </w:r>
      <w:r>
        <w:rPr>
          <w:rFonts w:hint="eastAsia" w:ascii="仿宋" w:hAnsi="仿宋" w:eastAsia="仿宋" w:cs="仿宋"/>
          <w:color w:val="auto"/>
          <w:sz w:val="24"/>
          <w:szCs w:val="24"/>
          <w:highlight w:val="none"/>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承包人主要施工管理人员擅自离开施工现场的违约责任：</w:t>
      </w:r>
      <w:r>
        <w:rPr>
          <w:rFonts w:hint="eastAsia" w:ascii="仿宋" w:hAnsi="仿宋" w:eastAsia="仿宋" w:cs="仿宋"/>
          <w:color w:val="auto"/>
          <w:sz w:val="24"/>
          <w:szCs w:val="24"/>
          <w:highlight w:val="none"/>
          <w:u w:val="single"/>
        </w:rPr>
        <w:t xml:space="preserve"> 向发包人交纳违约金不低于合同价千分之一/人•次，如擅自离开施工现场而未参加工地例会的，向发包人</w:t>
      </w:r>
      <w:r>
        <w:rPr>
          <w:rFonts w:hint="eastAsia" w:ascii="仿宋" w:hAnsi="仿宋" w:eastAsia="仿宋" w:cs="仿宋"/>
          <w:color w:val="auto"/>
          <w:sz w:val="24"/>
          <w:szCs w:val="24"/>
          <w:highlight w:val="none"/>
          <w:u w:val="single"/>
          <w:lang w:eastAsia="zh-CN"/>
        </w:rPr>
        <w:t xml:space="preserve">缴纳</w:t>
      </w:r>
      <w:r>
        <w:rPr>
          <w:rFonts w:hint="eastAsia" w:ascii="仿宋" w:hAnsi="仿宋" w:eastAsia="仿宋" w:cs="仿宋"/>
          <w:color w:val="auto"/>
          <w:sz w:val="24"/>
          <w:szCs w:val="24"/>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06" w:name="_Toc296347158"/>
      <w:r/>
      <w:bookmarkStart w:id="107" w:name="_Toc292559364"/>
      <w:r/>
      <w:bookmarkStart w:id="108" w:name="_Toc292559869"/>
      <w:r/>
      <w:bookmarkStart w:id="109" w:name="_Toc297120459"/>
      <w:r/>
      <w:bookmarkStart w:id="110" w:name="_Toc296346660"/>
      <w:r/>
      <w:bookmarkStart w:id="111" w:name="_Toc296890987"/>
      <w:r/>
      <w:bookmarkStart w:id="112" w:name="_Toc304295523"/>
      <w:r/>
      <w:bookmarkStart w:id="113" w:name="_Toc297048345"/>
      <w:r/>
      <w:bookmarkStart w:id="114" w:name="_Toc296891199"/>
      <w:r/>
      <w:bookmarkStart w:id="115" w:name="_Toc296944498"/>
      <w:r/>
      <w:bookmarkStart w:id="116" w:name="_Toc300934945"/>
      <w:r/>
      <w:bookmarkStart w:id="117" w:name="_Toc296503159"/>
      <w:r/>
      <w:bookmarkStart w:id="118" w:name="_Toc312677988"/>
      <w:r/>
      <w:bookmarkStart w:id="119" w:name="_Toc297216151"/>
      <w:r/>
      <w:bookmarkStart w:id="120" w:name="_Toc303539102"/>
      <w:r/>
      <w:bookmarkStart w:id="121" w:name="_Toc297123492"/>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分包</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22" w:name="_Toc296891200"/>
      <w:r/>
      <w:bookmarkStart w:id="123" w:name="_Toc297123493"/>
      <w:r/>
      <w:bookmarkStart w:id="124" w:name="_Toc318581158"/>
      <w:r/>
      <w:bookmarkStart w:id="125" w:name="_Toc296503160"/>
      <w:r/>
      <w:bookmarkStart w:id="126" w:name="_Toc296346661"/>
      <w:r/>
      <w:bookmarkStart w:id="127" w:name="_Toc304295524"/>
      <w:r/>
      <w:bookmarkStart w:id="128" w:name="_Toc296347159"/>
      <w:r/>
      <w:bookmarkStart w:id="129" w:name="_Toc297048346"/>
      <w:r/>
      <w:bookmarkStart w:id="130" w:name="_Toc300934946"/>
      <w:r/>
      <w:bookmarkStart w:id="131" w:name="_Toc297216152"/>
      <w:r/>
      <w:bookmarkStart w:id="132" w:name="_Toc303539103"/>
      <w:r/>
      <w:bookmarkStart w:id="133" w:name="_Toc312677989"/>
      <w:r/>
      <w:bookmarkStart w:id="134" w:name="_Toc297120460"/>
      <w:r/>
      <w:bookmarkStart w:id="135" w:name="_Toc292559870"/>
      <w:r/>
      <w:bookmarkStart w:id="136" w:name="_Toc296944499"/>
      <w:r/>
      <w:bookmarkStart w:id="137" w:name="_Toc292559365"/>
      <w:r/>
      <w:bookmarkStart w:id="138" w:name="_Toc296890988"/>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分包的一般约定</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 向发包人交纳违约金不低于合同价千分之一/人•次，如擅自离开施工现场而未参加工地例会的，向发包人</w:t>
      </w:r>
      <w:r>
        <w:rPr>
          <w:rFonts w:hint="eastAsia" w:ascii="仿宋" w:hAnsi="仿宋" w:eastAsia="仿宋" w:cs="仿宋"/>
          <w:color w:val="auto"/>
          <w:sz w:val="24"/>
          <w:szCs w:val="24"/>
          <w:highlight w:val="none"/>
          <w:u w:val="single"/>
          <w:lang w:eastAsia="zh-CN"/>
        </w:rPr>
        <w:t xml:space="preserve">缴纳</w:t>
      </w:r>
      <w:r>
        <w:rPr>
          <w:rFonts w:hint="eastAsia" w:ascii="仿宋" w:hAnsi="仿宋" w:eastAsia="仿宋" w:cs="仿宋"/>
          <w:color w:val="auto"/>
          <w:sz w:val="24"/>
          <w:szCs w:val="24"/>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Start w:id="139" w:name="_Toc296503161"/>
      <w:r/>
      <w:bookmarkEnd w:id="139"/>
      <w:r/>
      <w:bookmarkStart w:id="140" w:name="_Toc297120461"/>
      <w:r/>
      <w:bookmarkEnd w:id="140"/>
      <w:r/>
      <w:bookmarkStart w:id="141" w:name="_Toc297216153"/>
      <w:r/>
      <w:bookmarkEnd w:id="141"/>
      <w:r/>
      <w:bookmarkStart w:id="142" w:name="_Toc304295525"/>
      <w:r/>
      <w:bookmarkEnd w:id="142"/>
      <w:r/>
      <w:bookmarkStart w:id="143" w:name="_Toc297123494"/>
      <w:r/>
      <w:bookmarkEnd w:id="143"/>
      <w:r/>
      <w:bookmarkStart w:id="144" w:name="_Toc296346662"/>
      <w:r/>
      <w:bookmarkEnd w:id="144"/>
      <w:r/>
      <w:bookmarkStart w:id="145" w:name="_Toc297048347"/>
      <w:r/>
      <w:bookmarkEnd w:id="145"/>
      <w:r/>
      <w:bookmarkStart w:id="146" w:name="_Toc296347160"/>
      <w:r/>
      <w:bookmarkEnd w:id="146"/>
      <w:r/>
      <w:bookmarkStart w:id="147" w:name="_Toc296944500"/>
      <w:r/>
      <w:bookmarkEnd w:id="147"/>
      <w:r/>
      <w:bookmarkStart w:id="148" w:name="_Toc300934947"/>
      <w:r/>
      <w:bookmarkEnd w:id="148"/>
      <w:r/>
      <w:bookmarkStart w:id="149" w:name="_Toc296891201"/>
      <w:r/>
      <w:bookmarkEnd w:id="149"/>
      <w:r/>
      <w:bookmarkStart w:id="150" w:name="_Toc296890989"/>
      <w:r/>
      <w:bookmarkEnd w:id="150"/>
      <w:r/>
      <w:bookmarkStart w:id="151" w:name="_Toc303539104"/>
      <w:r/>
      <w:bookmarkEnd w:id="151"/>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52" w:name="_Toc312677990"/>
      <w:r/>
      <w:bookmarkStart w:id="153" w:name="_Toc318581159"/>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.2分包的确定</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分包合同价款</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bookmarkEnd w:id="152"/>
      <w:r/>
      <w:bookmarkEnd w:id="153"/>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工程照管与成品、半成品保护</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以合同签订日期与承包人进场日期先到者为起始时间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 履约担保</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提供    </w:t>
      </w:r>
      <w:r>
        <w:rPr>
          <w:rFonts w:hint="eastAsia" w:ascii="仿宋" w:hAnsi="仿宋" w:eastAsia="仿宋" w:cs="仿宋"/>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承包人提供履约担保的形式、金额及</w:t>
      </w:r>
      <w:r>
        <w:rPr>
          <w:rFonts w:hint="eastAsia" w:ascii="仿宋" w:hAnsi="仿宋" w:eastAsia="仿宋" w:cs="仿宋"/>
          <w:color w:val="auto"/>
          <w:sz w:val="24"/>
          <w:szCs w:val="24"/>
          <w:highlight w:val="none"/>
          <w:lang w:eastAsia="zh-CN"/>
        </w:rPr>
        <w:t xml:space="preserve">期限</w:t>
      </w:r>
      <w:r>
        <w:rPr>
          <w:rFonts w:hint="eastAsia" w:ascii="仿宋" w:hAnsi="仿宋" w:eastAsia="仿宋" w:cs="仿宋"/>
          <w:color w:val="auto"/>
          <w:sz w:val="24"/>
          <w:szCs w:val="24"/>
          <w:highlight w:val="none"/>
        </w:rPr>
        <w:t xml:space="preserve">：</w:t>
      </w:r>
      <w:bookmarkStart w:id="154" w:name="_Toc351203636"/>
      <w:r/>
      <w:r/>
    </w:p>
    <w:p>
      <w:pPr>
        <w:ind w:left="0" w:firstLine="48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①合同签订前</w:t>
      </w: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lang w:val="en-US" w:eastAsia="zh-CN"/>
        </w:rPr>
        <w:t xml:space="preserve">向甲方缴纳合同价的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%为</w:t>
      </w:r>
      <w:r>
        <w:rPr>
          <w:rFonts w:hint="eastAsia" w:ascii="仿宋" w:hAnsi="仿宋" w:eastAsia="仿宋" w:cs="仿宋"/>
          <w:color w:val="auto"/>
          <w:sz w:val="24"/>
          <w:szCs w:val="24"/>
          <w:highlight w:val="none"/>
        </w:rPr>
        <w:t xml:space="preserve">本合同的履约保证金。</w:t>
      </w:r>
      <w:r>
        <w:rPr>
          <w:rFonts w:hint="eastAsia" w:ascii="仿宋" w:hAnsi="仿宋" w:eastAsia="仿宋" w:cs="仿宋"/>
          <w:color w:val="auto"/>
          <w:sz w:val="24"/>
          <w:szCs w:val="24"/>
          <w:highlight w:val="none"/>
          <w:lang w:val="en-US" w:eastAsia="zh-CN"/>
        </w:rPr>
        <w:t xml:space="preserve">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rPr>
        <w:t xml:space="preserve">承包人提供的履约保证金可以是人民币形式（银行本票、汇票、支票、电汇），或银行保函、担保公司的保证担保或保险公司的保证保险等多种形式。</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仿宋"/>
          <w:color w:val="auto"/>
          <w:sz w:val="24"/>
          <w:szCs w:val="24"/>
          <w:highlight w:val="none"/>
        </w:rPr>
        <w:t xml:space="preserve">承包人选取银行保函、担保公司的保证担保或保险公司的保证保险等形式的向采购人缴纳的，如保函（担保、保险等）的约定期到期但承包人履约仍未结束的，承包人须进行续保。</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④</w:t>
      </w:r>
      <w:r>
        <w:rPr>
          <w:rFonts w:hint="eastAsia" w:ascii="仿宋" w:hAnsi="仿宋" w:eastAsia="仿宋" w:cs="仿宋"/>
          <w:color w:val="auto"/>
          <w:sz w:val="24"/>
          <w:szCs w:val="24"/>
          <w:highlight w:val="none"/>
        </w:rPr>
        <w:t xml:space="preserve">承包人选取以履约保函（保险）形式向</w:t>
      </w:r>
      <w:r>
        <w:rPr>
          <w:rFonts w:hint="eastAsia" w:ascii="仿宋" w:hAnsi="仿宋" w:eastAsia="仿宋" w:cs="仿宋"/>
          <w:color w:val="auto"/>
          <w:sz w:val="24"/>
          <w:szCs w:val="24"/>
          <w:highlight w:val="none"/>
          <w:lang w:val="en-US" w:eastAsia="zh-CN"/>
        </w:rPr>
        <w:t xml:space="preserve">发包</w:t>
      </w:r>
      <w:r>
        <w:rPr>
          <w:rFonts w:hint="eastAsia" w:ascii="仿宋" w:hAnsi="仿宋" w:eastAsia="仿宋" w:cs="仿宋"/>
          <w:color w:val="auto"/>
          <w:sz w:val="24"/>
          <w:szCs w:val="24"/>
          <w:highlight w:val="none"/>
        </w:rPr>
        <w:t xml:space="preserve">人缴纳的，按照《关于在全省政府采购领域推行电子履约保函（保险）的通知》（苏财购</w:t>
      </w:r>
      <w:r>
        <w:rPr>
          <w:rFonts w:hint="eastAsia" w:ascii="仿宋" w:hAnsi="仿宋" w:eastAsia="仿宋" w:cs="仿宋"/>
          <w:color w:val="auto"/>
          <w:sz w:val="24"/>
          <w:szCs w:val="24"/>
          <w:highlight w:val="none"/>
          <w:lang w:eastAsia="zh-CN"/>
        </w:rPr>
        <w:t xml:space="preserve">〔2023〕150号</w:t>
      </w:r>
      <w:r>
        <w:rPr>
          <w:rFonts w:hint="eastAsia" w:ascii="仿宋" w:hAnsi="仿宋" w:eastAsia="仿宋" w:cs="仿宋"/>
          <w:color w:val="auto"/>
          <w:sz w:val="24"/>
          <w:szCs w:val="24"/>
          <w:highlight w:val="none"/>
        </w:rPr>
        <w:t xml:space="preserve">）的要求，登录“政府采购电子履约保函（保险）平台”，选择第三方机构并提交保函（保险）申请，经审核通过后支付相关费用。</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⑤</w:t>
      </w:r>
      <w:r>
        <w:rPr>
          <w:rFonts w:hint="eastAsia" w:ascii="仿宋" w:hAnsi="仿宋" w:eastAsia="仿宋" w:cs="仿宋"/>
          <w:color w:val="auto"/>
          <w:sz w:val="24"/>
          <w:szCs w:val="24"/>
          <w:highlight w:val="none"/>
        </w:rPr>
        <w:t xml:space="preserve">如</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未能履行合同规定的义务，</w:t>
      </w:r>
      <w:r>
        <w:rPr>
          <w:rFonts w:hint="eastAsia" w:ascii="仿宋" w:hAnsi="仿宋" w:eastAsia="仿宋" w:cs="仿宋"/>
          <w:color w:val="auto"/>
          <w:sz w:val="24"/>
          <w:szCs w:val="24"/>
          <w:highlight w:val="none"/>
          <w:lang w:val="en-US" w:eastAsia="zh-CN"/>
        </w:rPr>
        <w:t xml:space="preserve">发包</w:t>
      </w:r>
      <w:r>
        <w:rPr>
          <w:rFonts w:hint="eastAsia" w:ascii="仿宋" w:hAnsi="仿宋" w:eastAsia="仿宋" w:cs="仿宋"/>
          <w:color w:val="auto"/>
          <w:sz w:val="24"/>
          <w:szCs w:val="24"/>
          <w:highlight w:val="none"/>
        </w:rPr>
        <w:t xml:space="preserve">人有权从履约保证金中取得补偿。</w:t>
      </w:r>
      <w:r/>
    </w:p>
    <w:p>
      <w:pPr>
        <w:ind w:left="0" w:firstLine="48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⑥</w:t>
      </w:r>
      <w:r>
        <w:rPr>
          <w:rFonts w:hint="eastAsia" w:ascii="仿宋" w:hAnsi="仿宋" w:eastAsia="仿宋" w:cs="仿宋"/>
          <w:color w:val="auto"/>
          <w:sz w:val="24"/>
          <w:szCs w:val="24"/>
          <w:highlight w:val="none"/>
        </w:rPr>
        <w:t xml:space="preserve">履约保证金在合同约定期间内不予退还或者应完全有效，约定期间届满之日起 5个工作日内，</w:t>
      </w:r>
      <w:r>
        <w:rPr>
          <w:rFonts w:hint="eastAsia" w:ascii="仿宋" w:hAnsi="仿宋" w:eastAsia="仿宋" w:cs="仿宋"/>
          <w:color w:val="auto"/>
          <w:sz w:val="24"/>
          <w:szCs w:val="24"/>
          <w:highlight w:val="none"/>
          <w:lang w:val="en-US" w:eastAsia="zh-CN"/>
        </w:rPr>
        <w:t xml:space="preserve">发包</w:t>
      </w:r>
      <w:r>
        <w:rPr>
          <w:rFonts w:hint="eastAsia" w:ascii="仿宋" w:hAnsi="仿宋" w:eastAsia="仿宋" w:cs="仿宋"/>
          <w:color w:val="auto"/>
          <w:sz w:val="24"/>
          <w:szCs w:val="24"/>
          <w:highlight w:val="none"/>
        </w:rPr>
        <w:t xml:space="preserve">人应将履约保证金退还</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；逾期退还的，按中国人民银行同期贷款</w:t>
      </w:r>
      <w:r>
        <w:rPr>
          <w:rFonts w:hint="eastAsia" w:ascii="仿宋" w:hAnsi="仿宋" w:eastAsia="仿宋" w:cs="仿宋"/>
          <w:color w:val="auto"/>
          <w:sz w:val="24"/>
          <w:szCs w:val="24"/>
          <w:highlight w:val="none"/>
          <w:lang w:eastAsia="zh-CN"/>
        </w:rPr>
        <w:t xml:space="preserve">基准利率</w:t>
      </w:r>
      <w:r>
        <w:rPr>
          <w:rFonts w:hint="eastAsia" w:ascii="仿宋" w:hAnsi="仿宋" w:eastAsia="仿宋" w:cs="仿宋"/>
          <w:color w:val="auto"/>
          <w:sz w:val="24"/>
          <w:szCs w:val="24"/>
          <w:highlight w:val="none"/>
        </w:rPr>
        <w:t xml:space="preserve">上浮20%后的利率支付超期资金占用费，但因</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自身原因导致无法及时退还的除外。</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   ⑦履约保证金在合同约定期间内不予退还</w:t>
      </w:r>
      <w:r>
        <w:rPr>
          <w:rFonts w:hint="eastAsia" w:ascii="仿宋" w:hAnsi="仿宋" w:eastAsia="仿宋" w:cs="仿宋"/>
          <w:color w:val="auto"/>
          <w:sz w:val="24"/>
          <w:szCs w:val="24"/>
          <w:highlight w:val="none"/>
          <w:lang w:eastAsia="zh-CN"/>
        </w:rPr>
        <w:t xml:space="preserve">或者</w:t>
      </w:r>
      <w:r>
        <w:rPr>
          <w:rFonts w:hint="eastAsia" w:ascii="仿宋" w:hAnsi="仿宋" w:eastAsia="仿宋" w:cs="仿宋"/>
          <w:color w:val="auto"/>
          <w:sz w:val="24"/>
          <w:szCs w:val="24"/>
          <w:highlight w:val="none"/>
        </w:rPr>
        <w:t xml:space="preserve">完全有效，履约保证金在项目验收合格后无息退还给</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w:t>
      </w:r>
      <w:r/>
    </w:p>
    <w:p>
      <w:pPr>
        <w:ind w:left="0" w:firstLine="482"/>
        <w:pageBreakBefore w:val="0"/>
        <w:spacing w:line="380" w:lineRule="exact"/>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4</w:t>
      </w:r>
      <w:bookmarkStart w:id="155" w:name="_Toc297120462"/>
      <w:r/>
      <w:bookmarkStart w:id="156" w:name="_Toc296503162"/>
      <w:r/>
      <w:bookmarkStart w:id="157" w:name="_Toc267251413"/>
      <w:r/>
      <w:bookmarkStart w:id="158" w:name="_Toc297048348"/>
      <w:r/>
      <w:bookmarkStart w:id="159" w:name="_Toc292559871"/>
      <w:r/>
      <w:bookmarkStart w:id="160" w:name="_Toc296891202"/>
      <w:r/>
      <w:bookmarkStart w:id="161" w:name="_Toc292559366"/>
      <w:r/>
      <w:bookmarkStart w:id="162" w:name="_Toc296346663"/>
      <w:r/>
      <w:bookmarkStart w:id="163" w:name="_Toc296890990"/>
      <w:r/>
      <w:bookmarkStart w:id="164" w:name="_Toc296944501"/>
      <w:r/>
      <w:bookmarkStart w:id="165" w:name="_Toc296347161"/>
      <w:r>
        <w:rPr>
          <w:rFonts w:hint="eastAsia" w:ascii="仿宋" w:hAnsi="仿宋" w:eastAsia="仿宋" w:cs="仿宋"/>
          <w:b/>
          <w:bCs/>
          <w:color w:val="auto"/>
          <w:sz w:val="24"/>
          <w:szCs w:val="24"/>
          <w:highlight w:val="none"/>
          <w:lang w:eastAsia="zh-CN"/>
        </w:rPr>
        <w:t xml:space="preserve">. 监</w:t>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仿宋" w:hAnsi="仿宋" w:eastAsia="仿宋" w:cs="仿宋"/>
          <w:b/>
          <w:bCs/>
          <w:color w:val="auto"/>
          <w:sz w:val="24"/>
          <w:szCs w:val="24"/>
          <w:highlight w:val="none"/>
          <w:lang w:eastAsia="zh-CN"/>
        </w:rPr>
        <w:t xml:space="preserve">理人</w:t>
      </w:r>
      <w:bookmarkEnd w:id="154"/>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4.1监理人的一般规定</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仿宋" w:hAnsi="仿宋" w:eastAsia="仿宋" w:cs="仿宋"/>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监理人员</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商定或确定</w:t>
      </w:r>
      <w:r/>
    </w:p>
    <w:p>
      <w:pPr>
        <w:ind w:left="0" w:firstLine="480"/>
        <w:pageBreakBefore w:val="0"/>
        <w:spacing w:line="380" w:lineRule="exact"/>
        <w:widowControl w:val="off"/>
        <w:rPr>
          <w:rFonts w:hint="eastAsia" w:ascii="仿宋" w:hAnsi="仿宋" w:eastAsia="仿宋" w:cs="仿宋"/>
          <w:color w:val="auto"/>
          <w:sz w:val="24"/>
          <w:szCs w:val="24"/>
          <w:highlight w:val="none"/>
        </w:rPr>
      </w:pPr>
      <w:r/>
      <w:bookmarkStart w:id="166" w:name="_Toc267251418"/>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167" w:name="_Toc351203637"/>
      <w:r>
        <w:rPr>
          <w:rFonts w:hint="eastAsia" w:ascii="仿宋" w:hAnsi="仿宋" w:eastAsia="仿宋" w:cs="仿宋"/>
          <w:color w:val="auto"/>
          <w:sz w:val="24"/>
          <w:szCs w:val="24"/>
          <w:highlight w:val="none"/>
          <w:lang w:eastAsia="zh-CN"/>
        </w:rPr>
        <w:t xml:space="preserve">5</w:t>
      </w:r>
      <w:bookmarkEnd w:id="166"/>
      <w:r/>
      <w:bookmarkStart w:id="168" w:name="_Toc296347162"/>
      <w:r/>
      <w:bookmarkStart w:id="169" w:name="_Toc292559367"/>
      <w:r/>
      <w:bookmarkStart w:id="170" w:name="_Toc296944502"/>
      <w:r/>
      <w:bookmarkStart w:id="171" w:name="_Toc296503163"/>
      <w:r/>
      <w:bookmarkStart w:id="172" w:name="_Toc297048349"/>
      <w:r/>
      <w:bookmarkStart w:id="173" w:name="_Toc296890991"/>
      <w:r/>
      <w:bookmarkStart w:id="174" w:name="_Toc296346664"/>
      <w:r/>
      <w:bookmarkStart w:id="175" w:name="_Toc296891203"/>
      <w:r/>
      <w:bookmarkStart w:id="176" w:name="_Toc297120463"/>
      <w:r/>
      <w:bookmarkStart w:id="177" w:name="_Toc292559872"/>
      <w:r>
        <w:rPr>
          <w:rFonts w:hint="eastAsia" w:ascii="仿宋" w:hAnsi="仿宋" w:eastAsia="仿宋" w:cs="仿宋"/>
          <w:color w:val="auto"/>
          <w:sz w:val="24"/>
          <w:szCs w:val="24"/>
          <w:highlight w:val="none"/>
          <w:lang w:eastAsia="zh-CN"/>
        </w:rPr>
        <w:t xml:space="preserve">. 工程质量</w:t>
      </w:r>
      <w:bookmarkEnd w:id="167"/>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5.1 质量要求</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bookmarkStart w:id="178" w:name="_Toc318581164"/>
      <w:r/>
      <w:bookmarkStart w:id="179" w:name="_Toc300934949"/>
      <w:r/>
      <w:bookmarkStart w:id="180" w:name="_Toc297216155"/>
      <w:r/>
      <w:bookmarkStart w:id="181" w:name="_Toc303539106"/>
      <w:r/>
      <w:bookmarkStart w:id="182" w:name="_Toc304295527"/>
      <w:r/>
      <w:bookmarkStart w:id="183" w:name="_Toc297123496"/>
      <w:r/>
      <w:bookmarkStart w:id="184" w:name="_Toc312677997"/>
      <w:r>
        <w:rPr>
          <w:rFonts w:hint="eastAsia" w:ascii="仿宋" w:hAnsi="仿宋" w:eastAsia="仿宋" w:cs="仿宋"/>
          <w:color w:val="auto"/>
          <w:sz w:val="24"/>
          <w:szCs w:val="24"/>
          <w:highlight w:val="none"/>
        </w:rPr>
        <w:t xml:space="preserve">.1.1 特殊质量标准和要求：</w:t>
      </w:r>
      <w:r>
        <w:rPr>
          <w:rFonts w:hint="eastAsia" w:ascii="仿宋" w:hAnsi="仿宋" w:eastAsia="仿宋" w:cs="仿宋"/>
          <w:color w:val="auto"/>
          <w:sz w:val="24"/>
          <w:szCs w:val="24"/>
          <w:highlight w:val="none"/>
          <w:u w:val="single"/>
        </w:rPr>
        <w:t xml:space="preserve"> 满足相关部门的验收标准</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隐蔽工程检查</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.2承包人提前通知监理人隐蔽工程检查的期限的约定：</w:t>
      </w:r>
      <w:r>
        <w:rPr>
          <w:rFonts w:hint="eastAsia" w:ascii="仿宋" w:hAnsi="仿宋" w:eastAsia="仿宋" w:cs="仿宋"/>
          <w:color w:val="auto"/>
          <w:sz w:val="24"/>
          <w:szCs w:val="24"/>
          <w:highlight w:val="none"/>
          <w:u w:val="single"/>
        </w:rPr>
        <w:t xml:space="preserve"> 承包人应在检查前48小时以书面形式通知监理人检查</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lang w:val="en-US" w:eastAsia="zh-CN"/>
        </w:rPr>
        <w:t xml:space="preserve">24</w:t>
      </w:r>
      <w:r>
        <w:rPr>
          <w:rFonts w:hint="eastAsia" w:ascii="仿宋" w:hAnsi="仿宋" w:eastAsia="仿宋" w:cs="仿宋"/>
          <w:color w:val="auto"/>
          <w:sz w:val="24"/>
          <w:szCs w:val="24"/>
          <w:highlight w:val="none"/>
        </w:rPr>
        <w:t xml:space="preserve">小时提交书面延期要求。</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lang w:val="en-US" w:eastAsia="zh-CN"/>
        </w:rPr>
        <w:t xml:space="preserve">48</w:t>
      </w:r>
      <w:r>
        <w:rPr>
          <w:rFonts w:hint="eastAsia" w:ascii="仿宋" w:hAnsi="仿宋" w:eastAsia="仿宋" w:cs="仿宋"/>
          <w:color w:val="auto"/>
          <w:sz w:val="24"/>
          <w:szCs w:val="24"/>
          <w:highlight w:val="none"/>
        </w:rPr>
        <w:t xml:space="preserve">小时。</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185" w:name="_Toc351203638"/>
      <w:r>
        <w:rPr>
          <w:rFonts w:hint="eastAsia" w:ascii="仿宋" w:hAnsi="仿宋" w:eastAsia="仿宋" w:cs="仿宋"/>
          <w:color w:val="auto"/>
          <w:sz w:val="24"/>
          <w:szCs w:val="24"/>
          <w:highlight w:val="none"/>
          <w:lang w:eastAsia="zh-CN"/>
        </w:rPr>
        <w:t xml:space="preserve">6. 安全文明施工与环境保护</w:t>
      </w:r>
      <w:bookmarkEnd w:id="185"/>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6.1安全文明施工</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rPr>
          <w:rFonts w:hint="eastAsia" w:ascii="仿宋" w:hAnsi="仿宋" w:eastAsia="仿宋" w:cs="仿宋"/>
          <w:color w:val="auto"/>
          <w:sz w:val="24"/>
          <w:szCs w:val="24"/>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仿宋" w:hAnsi="仿宋" w:eastAsia="仿宋" w:cs="仿宋"/>
          <w:color w:val="auto"/>
          <w:sz w:val="24"/>
          <w:szCs w:val="24"/>
          <w:highlight w:val="none"/>
          <w:u w:val="single"/>
          <w:lang w:eastAsia="zh-CN"/>
        </w:rPr>
        <w:t xml:space="preserve">用包</w:t>
      </w:r>
      <w:r>
        <w:rPr>
          <w:rFonts w:hint="eastAsia" w:ascii="仿宋" w:hAnsi="仿宋" w:eastAsia="仿宋" w:cs="仿宋"/>
          <w:color w:val="auto"/>
          <w:sz w:val="24"/>
          <w:szCs w:val="24"/>
          <w:highlight w:val="none"/>
          <w:u w:val="single"/>
        </w:rPr>
        <w:t xml:space="preserve">含在安全文明施工费中。承包人负责施工现场的安全及第三方的人身安全 ，承包人应当遵守工程建设安全生产有关管理规定，严格</w:t>
      </w:r>
      <w:r>
        <w:rPr>
          <w:rFonts w:hint="eastAsia" w:ascii="仿宋" w:hAnsi="仿宋" w:eastAsia="仿宋" w:cs="仿宋"/>
          <w:color w:val="auto"/>
          <w:sz w:val="24"/>
          <w:szCs w:val="24"/>
          <w:highlight w:val="none"/>
          <w:u w:val="single"/>
          <w:lang w:eastAsia="zh-CN"/>
        </w:rPr>
        <w:t xml:space="preserve">按照</w:t>
      </w:r>
      <w:r>
        <w:rPr>
          <w:rFonts w:hint="eastAsia" w:ascii="仿宋" w:hAnsi="仿宋" w:eastAsia="仿宋" w:cs="仿宋"/>
          <w:color w:val="auto"/>
          <w:sz w:val="24"/>
          <w:szCs w:val="24"/>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仿宋" w:hAnsi="仿宋" w:eastAsia="仿宋" w:cs="仿宋"/>
          <w:color w:val="auto"/>
          <w:sz w:val="24"/>
          <w:szCs w:val="24"/>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关于治安保卫的特别约定：</w:t>
      </w:r>
      <w:r>
        <w:rPr>
          <w:rFonts w:hint="eastAsia" w:ascii="仿宋" w:hAnsi="仿宋" w:eastAsia="仿宋" w:cs="仿宋"/>
          <w:color w:val="auto"/>
          <w:sz w:val="24"/>
          <w:szCs w:val="24"/>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仿宋" w:hAnsi="仿宋" w:eastAsia="仿宋" w:cs="仿宋"/>
          <w:color w:val="auto"/>
          <w:sz w:val="24"/>
          <w:szCs w:val="24"/>
          <w:highlight w:val="none"/>
          <w:u w:val="single"/>
          <w:lang w:eastAsia="zh-CN"/>
        </w:rPr>
        <w:t xml:space="preserve">用包</w:t>
      </w:r>
      <w:r>
        <w:rPr>
          <w:rFonts w:hint="eastAsia" w:ascii="仿宋" w:hAnsi="仿宋" w:eastAsia="仿宋" w:cs="仿宋"/>
          <w:color w:val="auto"/>
          <w:sz w:val="24"/>
          <w:szCs w:val="24"/>
          <w:highlight w:val="none"/>
          <w:u w:val="single"/>
        </w:rPr>
        <w:t xml:space="preserve">含在安全文明施工费中。承包人负责施工现场的安全及第三方的人身安全 ，承包人应当遵守工程建设安全生产有关管理规定，严格</w:t>
      </w:r>
      <w:r>
        <w:rPr>
          <w:rFonts w:hint="eastAsia" w:ascii="仿宋" w:hAnsi="仿宋" w:eastAsia="仿宋" w:cs="仿宋"/>
          <w:color w:val="auto"/>
          <w:sz w:val="24"/>
          <w:szCs w:val="24"/>
          <w:highlight w:val="none"/>
          <w:u w:val="single"/>
          <w:lang w:eastAsia="zh-CN"/>
        </w:rPr>
        <w:t xml:space="preserve">按照</w:t>
      </w:r>
      <w:r>
        <w:rPr>
          <w:rFonts w:hint="eastAsia" w:ascii="仿宋" w:hAnsi="仿宋" w:eastAsia="仿宋" w:cs="仿宋"/>
          <w:color w:val="auto"/>
          <w:sz w:val="24"/>
          <w:szCs w:val="24"/>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仿宋" w:hAnsi="仿宋" w:eastAsia="仿宋" w:cs="仿宋"/>
          <w:color w:val="auto"/>
          <w:sz w:val="24"/>
          <w:szCs w:val="24"/>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文明施工</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仿宋" w:hAnsi="仿宋" w:eastAsia="仿宋" w:cs="仿宋"/>
          <w:color w:val="auto"/>
          <w:sz w:val="24"/>
          <w:szCs w:val="24"/>
          <w:highlight w:val="none"/>
          <w:u w:val="single"/>
          <w:lang w:eastAsia="zh-CN"/>
        </w:rPr>
        <w:t xml:space="preserve">工</w:t>
      </w:r>
      <w:r>
        <w:rPr>
          <w:rFonts w:hint="eastAsia" w:ascii="仿宋" w:hAnsi="仿宋" w:eastAsia="仿宋" w:cs="仿宋"/>
          <w:color w:val="auto"/>
          <w:sz w:val="24"/>
          <w:szCs w:val="24"/>
          <w:highlight w:val="none"/>
          <w:u w:val="single"/>
        </w:rPr>
        <w:t xml:space="preserve">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w:t>
      </w:r>
      <w:r>
        <w:rPr>
          <w:rFonts w:hint="eastAsia" w:ascii="仿宋" w:hAnsi="仿宋" w:eastAsia="仿宋" w:cs="仿宋"/>
          <w:color w:val="auto"/>
          <w:sz w:val="24"/>
          <w:szCs w:val="24"/>
          <w:highlight w:val="none"/>
          <w:u w:val="single"/>
        </w:rPr>
        <w:t xml:space="preserve">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仿宋" w:hAnsi="仿宋" w:eastAsia="仿宋" w:cs="仿宋"/>
          <w:color w:val="auto"/>
          <w:sz w:val="24"/>
          <w:szCs w:val="24"/>
          <w:highlight w:val="none"/>
          <w:u w:val="single"/>
          <w:lang w:eastAsia="zh-CN"/>
        </w:rPr>
        <w:t xml:space="preserve">及其他</w:t>
      </w:r>
      <w:r>
        <w:rPr>
          <w:rFonts w:hint="eastAsia" w:ascii="仿宋" w:hAnsi="仿宋" w:eastAsia="仿宋" w:cs="仿宋"/>
          <w:color w:val="auto"/>
          <w:sz w:val="24"/>
          <w:szCs w:val="24"/>
          <w:highlight w:val="none"/>
          <w:u w:val="single"/>
        </w:rPr>
        <w:t xml:space="preserve">设施等破坏修复费用及管网移</w:t>
      </w:r>
      <w:r>
        <w:rPr>
          <w:rFonts w:hint="eastAsia" w:ascii="仿宋" w:hAnsi="仿宋" w:eastAsia="仿宋" w:cs="仿宋"/>
          <w:color w:val="auto"/>
          <w:sz w:val="24"/>
          <w:szCs w:val="24"/>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注：上述相关费用由承包人投标时自行考虑，已包含在发包价内。施工期间发生的该类一切费用发包人不予补偿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关于安全文明施工费支付比例和支付期限的约定：</w:t>
      </w:r>
      <w:r>
        <w:rPr>
          <w:rFonts w:hint="eastAsia" w:ascii="仿宋" w:hAnsi="仿宋" w:eastAsia="仿宋" w:cs="仿宋"/>
          <w:color w:val="auto"/>
          <w:sz w:val="24"/>
          <w:szCs w:val="24"/>
          <w:highlight w:val="none"/>
          <w:u w:val="single"/>
        </w:rPr>
        <w:t xml:space="preserve">  按专用合同条款第12.4.1项〔付款周期〕的约定予以支付  </w:t>
      </w:r>
      <w:r>
        <w:rPr>
          <w:rFonts w:hint="eastAsia" w:ascii="仿宋" w:hAnsi="仿宋" w:eastAsia="仿宋" w:cs="仿宋"/>
          <w:color w:val="auto"/>
          <w:sz w:val="24"/>
          <w:szCs w:val="24"/>
          <w:highlight w:val="none"/>
        </w:rPr>
        <w:t xml:space="preserve">。</w:t>
      </w:r>
      <w:bookmarkEnd w:id="178"/>
      <w:r/>
      <w:bookmarkEnd w:id="179"/>
      <w:r/>
      <w:bookmarkEnd w:id="180"/>
      <w:r/>
      <w:bookmarkEnd w:id="181"/>
      <w:r/>
      <w:bookmarkEnd w:id="182"/>
      <w:r/>
      <w:bookmarkEnd w:id="183"/>
      <w:r/>
      <w:bookmarkEnd w:id="184"/>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186" w:name="_Toc351203639"/>
      <w:r>
        <w:rPr>
          <w:rFonts w:hint="eastAsia" w:ascii="仿宋" w:hAnsi="仿宋" w:eastAsia="仿宋" w:cs="仿宋"/>
          <w:color w:val="auto"/>
          <w:sz w:val="24"/>
          <w:szCs w:val="24"/>
          <w:highlight w:val="none"/>
          <w:lang w:eastAsia="zh-CN"/>
        </w:rPr>
        <w:t xml:space="preserve">7. 工期和进度</w:t>
      </w:r>
      <w:bookmarkEnd w:id="186"/>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施工组织设计</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7.1.2施工组织设计的提交和修改</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承包人应在合同签订后14天内提交详细的施工组织设计，但至迟不得晚于监理人发出开工通知中载明的开工日期前7天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7日内</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87" w:name="_Toc297216173"/>
      <w:r/>
      <w:bookmarkStart w:id="188" w:name="_Toc312678005"/>
      <w:r/>
      <w:bookmarkStart w:id="189" w:name="_Toc312677479"/>
      <w:r/>
      <w:bookmarkStart w:id="190" w:name="_Toc303539123"/>
      <w:r/>
      <w:bookmarkStart w:id="191" w:name="_Toc304295541"/>
      <w:r/>
      <w:bookmarkStart w:id="192" w:name="_Toc297123514"/>
      <w:r/>
      <w:bookmarkStart w:id="193" w:name="_Toc300934966"/>
      <w:r>
        <w:rPr>
          <w:rFonts w:hint="eastAsia" w:ascii="仿宋" w:hAnsi="仿宋" w:eastAsia="仿宋" w:cs="仿宋"/>
          <w:color w:val="auto"/>
          <w:sz w:val="24"/>
          <w:szCs w:val="24"/>
          <w:highlight w:val="none"/>
        </w:rPr>
        <w:t xml:space="preserve">.2 施工进度计划</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施工进度计划的修订</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7日内</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开工</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按通用合同条款执行</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lang w:val="en-US" w:eastAsia="zh-CN"/>
        </w:rPr>
        <w:t xml:space="preserve">180</w:t>
      </w:r>
      <w:r>
        <w:rPr>
          <w:rFonts w:hint="eastAsia" w:ascii="仿宋" w:hAnsi="仿宋" w:eastAsia="仿宋" w:cs="仿宋"/>
          <w:color w:val="auto"/>
          <w:sz w:val="24"/>
          <w:szCs w:val="24"/>
          <w:highlight w:val="none"/>
        </w:rPr>
        <w:t xml:space="preserve">天内发出开工通知的，承包人有权提出价格调整要求，或者解除合同。</w:t>
      </w:r>
      <w:bookmarkEnd w:id="187"/>
      <w:r/>
      <w:bookmarkEnd w:id="188"/>
      <w:r/>
      <w:bookmarkEnd w:id="189"/>
      <w:r/>
      <w:bookmarkEnd w:id="190"/>
      <w:r/>
      <w:bookmarkEnd w:id="191"/>
      <w:r/>
      <w:bookmarkEnd w:id="192"/>
      <w:r/>
      <w:bookmarkEnd w:id="193"/>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 测量放线</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94" w:name="_Toc304295546"/>
      <w:r/>
      <w:bookmarkStart w:id="195" w:name="_Toc297123516"/>
      <w:r/>
      <w:bookmarkStart w:id="196" w:name="_Toc297216175"/>
      <w:r/>
      <w:bookmarkStart w:id="197" w:name="_Toc303539125"/>
      <w:r/>
      <w:bookmarkStart w:id="198" w:name="_Toc312677484"/>
      <w:r/>
      <w:bookmarkStart w:id="199" w:name="_Toc300934968"/>
      <w:r/>
      <w:bookmarkStart w:id="200" w:name="_Toc312678010"/>
      <w:r>
        <w:rPr>
          <w:rFonts w:hint="eastAsia" w:ascii="仿宋" w:hAnsi="仿宋" w:eastAsia="仿宋" w:cs="仿宋"/>
          <w:color w:val="auto"/>
          <w:sz w:val="24"/>
          <w:szCs w:val="24"/>
          <w:highlight w:val="none"/>
        </w:rPr>
        <w:t xml:space="preserve">.5 工期延误</w:t>
      </w:r>
      <w:bookmarkEnd w:id="194"/>
      <w:r/>
      <w:bookmarkEnd w:id="195"/>
      <w:r/>
      <w:bookmarkEnd w:id="196"/>
      <w:r/>
      <w:bookmarkEnd w:id="197"/>
      <w:r/>
      <w:bookmarkEnd w:id="198"/>
      <w:r/>
      <w:bookmarkEnd w:id="199"/>
      <w:r/>
      <w:bookmarkEnd w:id="200"/>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7.5.1 因发包人原因导致工期延误</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（7）因发包人原因导致工期延误的其他情形</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201" w:name="_Toc312677486"/>
      <w:r/>
      <w:bookmarkStart w:id="202" w:name="_Toc318581169"/>
      <w:r/>
      <w:bookmarkStart w:id="203" w:name="_Toc312678012"/>
      <w:r/>
      <w:bookmarkStart w:id="204" w:name="_Toc304295548"/>
      <w:r/>
      <w:bookmarkStart w:id="205" w:name="_Toc297123518"/>
      <w:r/>
      <w:bookmarkStart w:id="206" w:name="_Toc303539127"/>
      <w:r/>
      <w:bookmarkStart w:id="207" w:name="_Toc300934970"/>
      <w:r/>
      <w:bookmarkStart w:id="208" w:name="_Toc297216177"/>
      <w:r>
        <w:rPr>
          <w:rFonts w:hint="eastAsia" w:ascii="仿宋" w:hAnsi="仿宋" w:eastAsia="仿宋" w:cs="仿宋"/>
          <w:color w:val="auto"/>
          <w:sz w:val="24"/>
          <w:szCs w:val="24"/>
          <w:highlight w:val="none"/>
        </w:rPr>
        <w:t xml:space="preserve">.5.2 因承包人原因导致工期延误</w:t>
      </w:r>
      <w:bookmarkEnd w:id="201"/>
      <w:r/>
      <w:bookmarkEnd w:id="202"/>
      <w:r/>
      <w:bookmarkEnd w:id="203"/>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209" w:name="_Toc312677487"/>
      <w:r/>
      <w:bookmarkStart w:id="210" w:name="_Toc318581170"/>
      <w:r/>
      <w:bookmarkStart w:id="211" w:name="_Toc312678013"/>
      <w:r>
        <w:rPr>
          <w:rFonts w:hint="eastAsia" w:ascii="仿宋" w:hAnsi="仿宋" w:eastAsia="仿宋" w:cs="仿宋"/>
          <w:color w:val="auto"/>
          <w:sz w:val="24"/>
          <w:szCs w:val="24"/>
          <w:highlight w:val="none"/>
        </w:rPr>
        <w:t xml:space="preserve">承包人原因造成工期延误，逾期竣工违约金的计算方法为：</w:t>
      </w:r>
      <w:r>
        <w:rPr>
          <w:rFonts w:hint="eastAsia" w:ascii="仿宋" w:hAnsi="仿宋" w:eastAsia="仿宋" w:cs="仿宋"/>
          <w:color w:val="auto"/>
          <w:sz w:val="24"/>
          <w:szCs w:val="24"/>
          <w:highlight w:val="none"/>
          <w:u w:val="single"/>
        </w:rPr>
        <w:t xml:space="preserve">承包人向发包人支付2000元/天的违约金 </w:t>
      </w:r>
      <w:r>
        <w:rPr>
          <w:rFonts w:hint="eastAsia" w:ascii="仿宋" w:hAnsi="仿宋" w:eastAsia="仿宋" w:cs="仿宋"/>
          <w:color w:val="auto"/>
          <w:sz w:val="24"/>
          <w:szCs w:val="24"/>
          <w:highlight w:val="none"/>
        </w:rPr>
        <w:t xml:space="preserve">。</w:t>
      </w:r>
      <w:bookmarkEnd w:id="204"/>
      <w:r/>
      <w:bookmarkEnd w:id="205"/>
      <w:r/>
      <w:bookmarkEnd w:id="206"/>
      <w:r/>
      <w:bookmarkEnd w:id="207"/>
      <w:r/>
      <w:bookmarkEnd w:id="208"/>
      <w:r/>
      <w:bookmarkEnd w:id="209"/>
      <w:r/>
      <w:bookmarkEnd w:id="210"/>
      <w:r/>
      <w:bookmarkEnd w:id="211"/>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因承包人原因造成工期延误，逾</w:t>
      </w:r>
      <w:bookmarkStart w:id="212" w:name="_Toc312678014"/>
      <w:r/>
      <w:bookmarkStart w:id="213" w:name="_Toc318581171"/>
      <w:r>
        <w:rPr>
          <w:rFonts w:hint="eastAsia" w:ascii="仿宋" w:hAnsi="仿宋" w:eastAsia="仿宋" w:cs="仿宋"/>
          <w:color w:val="auto"/>
          <w:sz w:val="24"/>
          <w:szCs w:val="24"/>
          <w:highlight w:val="none"/>
        </w:rPr>
        <w:t xml:space="preserve">期竣工违约金的上限：</w:t>
      </w:r>
      <w:r>
        <w:rPr>
          <w:rFonts w:hint="eastAsia" w:ascii="仿宋" w:hAnsi="仿宋" w:eastAsia="仿宋" w:cs="仿宋"/>
          <w:color w:val="auto"/>
          <w:sz w:val="24"/>
          <w:szCs w:val="24"/>
          <w:highlight w:val="none"/>
          <w:u w:val="single"/>
          <w:lang w:val="en-US" w:eastAsia="zh-CN"/>
        </w:rPr>
        <w:t xml:space="preserve">合同总价20%的违约金</w:t>
      </w:r>
      <w:r>
        <w:rPr>
          <w:rFonts w:hint="eastAsia" w:ascii="仿宋" w:hAnsi="仿宋" w:eastAsia="仿宋" w:cs="仿宋"/>
          <w:color w:val="auto"/>
          <w:sz w:val="24"/>
          <w:szCs w:val="24"/>
          <w:highlight w:val="none"/>
        </w:rPr>
        <w:t xml:space="preserve">。</w:t>
      </w:r>
      <w:bookmarkEnd w:id="212"/>
      <w:r/>
      <w:bookmarkEnd w:id="213"/>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214" w:name="_Toc304295549"/>
      <w:r/>
      <w:bookmarkStart w:id="215" w:name="_Toc297216178"/>
      <w:r/>
      <w:bookmarkStart w:id="216" w:name="_Toc297123519"/>
      <w:r/>
      <w:bookmarkStart w:id="217" w:name="_Toc300934971"/>
      <w:r/>
      <w:bookmarkStart w:id="218" w:name="_Toc312678015"/>
      <w:r/>
      <w:bookmarkStart w:id="219" w:name="_Toc303539128"/>
      <w:r>
        <w:rPr>
          <w:rFonts w:hint="eastAsia" w:ascii="仿宋" w:hAnsi="仿宋" w:eastAsia="仿宋" w:cs="仿宋"/>
          <w:color w:val="auto"/>
          <w:sz w:val="24"/>
          <w:szCs w:val="24"/>
          <w:highlight w:val="none"/>
        </w:rPr>
        <w:t xml:space="preserve">.6 不</w:t>
      </w:r>
      <w:bookmarkEnd w:id="214"/>
      <w:r/>
      <w:bookmarkEnd w:id="215"/>
      <w:r/>
      <w:bookmarkEnd w:id="216"/>
      <w:r/>
      <w:bookmarkEnd w:id="217"/>
      <w:r/>
      <w:bookmarkEnd w:id="218"/>
      <w:r/>
      <w:bookmarkEnd w:id="219"/>
      <w:r>
        <w:rPr>
          <w:rFonts w:hint="eastAsia" w:ascii="仿宋" w:hAnsi="仿宋" w:eastAsia="仿宋" w:cs="仿宋"/>
          <w:color w:val="auto"/>
          <w:sz w:val="24"/>
          <w:szCs w:val="24"/>
          <w:highlight w:val="none"/>
        </w:rPr>
        <w:t xml:space="preserve">利物质条件</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bookmarkStart w:id="220" w:name="_Toc303539129"/>
      <w:r/>
      <w:bookmarkStart w:id="221" w:name="_Toc304295550"/>
      <w:r/>
      <w:bookmarkStart w:id="222" w:name="_Toc297216179"/>
      <w:r/>
      <w:bookmarkStart w:id="223" w:name="_Toc297123520"/>
      <w:r/>
      <w:bookmarkStart w:id="224" w:name="_Toc318581172"/>
      <w:r/>
      <w:bookmarkStart w:id="225" w:name="_Toc300934972"/>
      <w:r/>
      <w:bookmarkStart w:id="226" w:name="_Toc312678016"/>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lang w:eastAsia="zh-CN"/>
        </w:rPr>
        <w:t xml:space="preserve">：</w:t>
      </w:r>
      <w:bookmarkEnd w:id="220"/>
      <w:r/>
      <w:bookmarkEnd w:id="221"/>
      <w:r/>
      <w:bookmarkEnd w:id="222"/>
      <w:r/>
      <w:bookmarkEnd w:id="223"/>
      <w:r/>
      <w:bookmarkEnd w:id="224"/>
      <w:r/>
      <w:bookmarkEnd w:id="225"/>
      <w:r/>
      <w:bookmarkEnd w:id="226"/>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227" w:name="_Toc297123521"/>
      <w:r/>
      <w:bookmarkStart w:id="228" w:name="_Toc303539130"/>
      <w:r/>
      <w:bookmarkStart w:id="229" w:name="_Toc300934973"/>
      <w:r/>
      <w:bookmarkStart w:id="230" w:name="_Toc304295551"/>
      <w:r/>
      <w:bookmarkStart w:id="231" w:name="_Toc297216180"/>
      <w:r/>
      <w:bookmarkStart w:id="232" w:name="_Toc312678017"/>
      <w:r>
        <w:rPr>
          <w:rFonts w:hint="eastAsia" w:ascii="仿宋" w:hAnsi="仿宋" w:eastAsia="仿宋" w:cs="仿宋"/>
          <w:color w:val="auto"/>
          <w:sz w:val="24"/>
          <w:szCs w:val="24"/>
          <w:highlight w:val="none"/>
        </w:rPr>
        <w:t xml:space="preserve">.7异常恶劣的气候条件</w:t>
      </w:r>
      <w:bookmarkEnd w:id="227"/>
      <w:r/>
      <w:bookmarkEnd w:id="228"/>
      <w:r/>
      <w:bookmarkEnd w:id="229"/>
      <w:r/>
      <w:bookmarkEnd w:id="230"/>
      <w:r/>
      <w:bookmarkEnd w:id="231"/>
      <w:r/>
      <w:bookmarkEnd w:id="232"/>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33" w:name="_Toc20730"/>
      <w:r/>
      <w:bookmarkStart w:id="234" w:name="_Toc25312"/>
      <w:r>
        <w:rPr>
          <w:rFonts w:hint="eastAsia" w:ascii="仿宋" w:hAnsi="仿宋" w:eastAsia="仿宋" w:cs="仿宋"/>
          <w:color w:val="auto"/>
          <w:sz w:val="24"/>
          <w:szCs w:val="24"/>
          <w:highlight w:val="none"/>
          <w:u w:val="single"/>
          <w:lang w:val="en-US" w:eastAsia="zh-CN"/>
        </w:rPr>
        <w:t xml:space="preserve">（1）日降雨量大于100㎜的雨日超过3天；</w:t>
      </w:r>
      <w:bookmarkEnd w:id="233"/>
      <w:r/>
      <w:bookmarkEnd w:id="234"/>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35" w:name="_Toc22806"/>
      <w:r/>
      <w:bookmarkStart w:id="236" w:name="_Toc14181"/>
      <w:r>
        <w:rPr>
          <w:rFonts w:hint="eastAsia" w:ascii="仿宋" w:hAnsi="仿宋" w:eastAsia="仿宋" w:cs="仿宋"/>
          <w:color w:val="auto"/>
          <w:sz w:val="24"/>
          <w:szCs w:val="24"/>
          <w:highlight w:val="none"/>
          <w:u w:val="single"/>
          <w:lang w:val="en-US" w:eastAsia="zh-CN"/>
        </w:rPr>
        <w:t xml:space="preserve">（2）风速大于17.2m/s的8级以上台风灾害；</w:t>
      </w:r>
      <w:bookmarkEnd w:id="235"/>
      <w:r/>
      <w:bookmarkEnd w:id="236"/>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37" w:name="_Toc2784"/>
      <w:r/>
      <w:bookmarkStart w:id="238" w:name="_Toc9464"/>
      <w:r>
        <w:rPr>
          <w:rFonts w:hint="eastAsia" w:ascii="仿宋" w:hAnsi="仿宋" w:eastAsia="仿宋" w:cs="仿宋"/>
          <w:color w:val="auto"/>
          <w:sz w:val="24"/>
          <w:szCs w:val="24"/>
          <w:highlight w:val="none"/>
          <w:u w:val="single"/>
          <w:lang w:val="en-US" w:eastAsia="zh-CN"/>
        </w:rPr>
        <w:t xml:space="preserve">（3）日气温超过37℃的高温大于3天或日气温超过35℃的高温连续5天及以上；</w:t>
      </w:r>
      <w:bookmarkEnd w:id="237"/>
      <w:r/>
      <w:bookmarkEnd w:id="238"/>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39" w:name="_Toc14197"/>
      <w:r/>
      <w:bookmarkStart w:id="240" w:name="_Toc12653"/>
      <w:r>
        <w:rPr>
          <w:rFonts w:hint="eastAsia" w:ascii="仿宋" w:hAnsi="仿宋" w:eastAsia="仿宋" w:cs="仿宋"/>
          <w:color w:val="auto"/>
          <w:sz w:val="24"/>
          <w:szCs w:val="24"/>
          <w:highlight w:val="none"/>
          <w:u w:val="single"/>
          <w:lang w:val="en-US" w:eastAsia="zh-CN"/>
        </w:rPr>
        <w:t xml:space="preserve">（4）日气温低于―10℃ 的大寒大于3天；</w:t>
      </w:r>
      <w:bookmarkEnd w:id="239"/>
      <w:r/>
      <w:bookmarkEnd w:id="240"/>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41" w:name="_Toc30033"/>
      <w:r/>
      <w:bookmarkStart w:id="242" w:name="_Toc24184"/>
      <w:r>
        <w:rPr>
          <w:rFonts w:hint="eastAsia" w:ascii="仿宋" w:hAnsi="仿宋" w:eastAsia="仿宋" w:cs="仿宋"/>
          <w:color w:val="auto"/>
          <w:sz w:val="24"/>
          <w:szCs w:val="24"/>
          <w:highlight w:val="none"/>
          <w:u w:val="single"/>
          <w:lang w:val="en-US" w:eastAsia="zh-CN"/>
        </w:rPr>
        <w:t xml:space="preserve">（5）造成工程损坏的冰雹和大雪灾害：日降雪量10㎜及以上；</w:t>
      </w:r>
      <w:bookmarkEnd w:id="241"/>
      <w:r/>
      <w:bookmarkEnd w:id="242"/>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43" w:name="_Toc14325"/>
      <w:r/>
      <w:bookmarkStart w:id="244" w:name="_Toc1784"/>
      <w:r>
        <w:rPr>
          <w:rFonts w:hint="eastAsia" w:ascii="仿宋" w:hAnsi="仿宋" w:eastAsia="仿宋" w:cs="仿宋"/>
          <w:color w:val="auto"/>
          <w:sz w:val="24"/>
          <w:szCs w:val="24"/>
          <w:highlight w:val="none"/>
          <w:u w:val="single"/>
          <w:lang w:val="en-US" w:eastAsia="zh-CN"/>
        </w:rPr>
        <w:t xml:space="preserve">（6）其他异常恶劣气候灾害 。</w:t>
      </w:r>
      <w:bookmarkEnd w:id="243"/>
      <w:r/>
      <w:bookmarkEnd w:id="244"/>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45" w:name="_Toc406"/>
      <w:r/>
      <w:bookmarkStart w:id="246" w:name="_Toc11964"/>
      <w:r>
        <w:rPr>
          <w:rFonts w:hint="eastAsia" w:ascii="仿宋" w:hAnsi="仿宋" w:eastAsia="仿宋" w:cs="仿宋"/>
          <w:color w:val="auto"/>
          <w:sz w:val="24"/>
          <w:szCs w:val="24"/>
          <w:highlight w:val="none"/>
          <w:u w:val="single"/>
          <w:lang w:val="en-US" w:eastAsia="zh-CN"/>
        </w:rPr>
        <w:t xml:space="preserve">注：均以气象部门公布的为准。</w:t>
      </w:r>
      <w:bookmarkEnd w:id="245"/>
      <w:r/>
      <w:bookmarkEnd w:id="246"/>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 提前竣工的奖励</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.2提前竣工的奖励：</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247" w:name="_Toc351203640"/>
      <w:r>
        <w:rPr>
          <w:rFonts w:hint="eastAsia" w:ascii="仿宋" w:hAnsi="仿宋" w:eastAsia="仿宋" w:cs="仿宋"/>
          <w:color w:val="auto"/>
          <w:sz w:val="24"/>
          <w:szCs w:val="24"/>
          <w:highlight w:val="none"/>
          <w:lang w:eastAsia="zh-CN"/>
        </w:rPr>
        <w:t xml:space="preserve">8. 材料与设备</w:t>
      </w:r>
      <w:bookmarkEnd w:id="168"/>
      <w:r/>
      <w:bookmarkEnd w:id="169"/>
      <w:r/>
      <w:bookmarkEnd w:id="170"/>
      <w:r/>
      <w:bookmarkEnd w:id="171"/>
      <w:r/>
      <w:bookmarkEnd w:id="172"/>
      <w:r/>
      <w:bookmarkEnd w:id="173"/>
      <w:r/>
      <w:bookmarkEnd w:id="174"/>
      <w:r/>
      <w:bookmarkEnd w:id="175"/>
      <w:r/>
      <w:bookmarkEnd w:id="176"/>
      <w:r/>
      <w:bookmarkEnd w:id="177"/>
      <w:r/>
      <w:bookmarkEnd w:id="247"/>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248" w:name="_Toc300934979"/>
      <w:r/>
      <w:bookmarkStart w:id="249" w:name="_Toc312678019"/>
      <w:r/>
      <w:bookmarkStart w:id="250" w:name="_Toc297048353"/>
      <w:r/>
      <w:bookmarkStart w:id="251" w:name="_Toc292559877"/>
      <w:r/>
      <w:bookmarkStart w:id="252" w:name="_Toc304295556"/>
      <w:r/>
      <w:bookmarkStart w:id="253" w:name="_Toc280868654"/>
      <w:r/>
      <w:bookmarkStart w:id="254" w:name="_Toc297216186"/>
      <w:r/>
      <w:bookmarkStart w:id="255" w:name="_Toc296346668"/>
      <w:r/>
      <w:bookmarkStart w:id="256" w:name="_Toc297120467"/>
      <w:r/>
      <w:bookmarkStart w:id="257" w:name="_Toc312677493"/>
      <w:r/>
      <w:bookmarkStart w:id="258" w:name="_Toc296944506"/>
      <w:r/>
      <w:bookmarkStart w:id="259" w:name="_Toc292559372"/>
      <w:r/>
      <w:bookmarkStart w:id="260" w:name="_Toc296347166"/>
      <w:r/>
      <w:bookmarkStart w:id="261" w:name="_Toc296891207"/>
      <w:r/>
      <w:bookmarkStart w:id="262" w:name="_Toc296503167"/>
      <w:r/>
      <w:bookmarkStart w:id="263" w:name="_Toc297123527"/>
      <w:r/>
      <w:bookmarkStart w:id="264" w:name="_Toc303539136"/>
      <w:r/>
      <w:bookmarkStart w:id="265" w:name="_Toc296890995"/>
      <w:r/>
      <w:bookmarkStart w:id="266" w:name="_Toc280868656"/>
      <w:r/>
      <w:bookmarkStart w:id="267" w:name="_Toc280868655"/>
      <w:r/>
      <w:bookmarkStart w:id="268" w:name="_Toc267251424"/>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材料与工程设备的保管与使用</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269" w:name="_Toc292559878"/>
      <w:r/>
      <w:bookmarkStart w:id="270" w:name="_Toc292559373"/>
      <w:r/>
      <w:bookmarkStart w:id="271" w:name="_Toc300934980"/>
      <w:r/>
      <w:bookmarkStart w:id="272" w:name="_Toc297123528"/>
      <w:r/>
      <w:bookmarkStart w:id="273" w:name="_Toc296346669"/>
      <w:r/>
      <w:bookmarkStart w:id="274" w:name="_Toc296347167"/>
      <w:r/>
      <w:bookmarkStart w:id="275" w:name="_Toc312678020"/>
      <w:r/>
      <w:bookmarkStart w:id="276" w:name="_Toc296503168"/>
      <w:r/>
      <w:bookmarkStart w:id="277" w:name="_Toc296944507"/>
      <w:r/>
      <w:bookmarkStart w:id="278" w:name="_Toc297048354"/>
      <w:r/>
      <w:bookmarkStart w:id="279" w:name="_Toc296890996"/>
      <w:r/>
      <w:bookmarkStart w:id="280" w:name="_Toc318581173"/>
      <w:r/>
      <w:bookmarkStart w:id="281" w:name="_Toc304295557"/>
      <w:r/>
      <w:bookmarkStart w:id="282" w:name="_Toc312677494"/>
      <w:r/>
      <w:bookmarkStart w:id="283" w:name="_Toc297120468"/>
      <w:r/>
      <w:bookmarkStart w:id="284" w:name="_Toc296891208"/>
      <w:r/>
      <w:bookmarkStart w:id="285" w:name="_Toc303539137"/>
      <w:r/>
      <w:bookmarkStart w:id="286" w:name="_Toc297216187"/>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.1发包人供应的材料设备的保管费用的承担：</w:t>
      </w:r>
      <w:r>
        <w:rPr>
          <w:rFonts w:hint="eastAsia" w:ascii="仿宋" w:hAnsi="仿宋" w:eastAsia="仿宋" w:cs="仿宋"/>
          <w:color w:val="auto"/>
          <w:sz w:val="24"/>
          <w:szCs w:val="24"/>
          <w:highlight w:val="none"/>
          <w:u w:val="single"/>
        </w:rPr>
        <w:t xml:space="preserve">承包人在投标时已综合考虑，已包含在发包价内，发包人不再额外予以补偿</w:t>
      </w:r>
      <w:r>
        <w:rPr>
          <w:rFonts w:hint="eastAsia" w:ascii="仿宋" w:hAnsi="仿宋" w:eastAsia="仿宋" w:cs="仿宋"/>
          <w:color w:val="auto"/>
          <w:sz w:val="24"/>
          <w:szCs w:val="24"/>
          <w:highlight w:val="none"/>
        </w:rPr>
        <w:t xml:space="preserve">。</w:t>
      </w:r>
      <w:bookmarkEnd w:id="269"/>
      <w:r/>
      <w:bookmarkEnd w:id="270"/>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样品</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.1样品的报送与封存</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按有关规定和发包人要求执行。</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（3）承包人应在投标文件中明确材料或设备所选的品牌、厂家，如果承包人在投标文件中没有明确选用何种品牌，发包人可以指定其他任一品牌厂家，且合同价格不予调整；</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（5）发包人有权对承包人的材料采购环节进行监控，对此承包人不得拒绝。相关风险承包人在投标时需综合考虑，已包含在发包价内</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施工设备和临时设施</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 承包人提供的施工设备和临时设施</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费用由中标单位承担 </w:t>
      </w:r>
      <w:r>
        <w:rPr>
          <w:rFonts w:hint="eastAsia" w:ascii="仿宋" w:hAnsi="仿宋" w:eastAsia="仿宋" w:cs="仿宋"/>
          <w:color w:val="auto"/>
          <w:sz w:val="24"/>
          <w:szCs w:val="24"/>
          <w:highlight w:val="none"/>
        </w:rPr>
        <w:t xml:space="preserve">。</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287" w:name="_Toc351203641"/>
      <w:r>
        <w:rPr>
          <w:rFonts w:hint="eastAsia" w:ascii="仿宋" w:hAnsi="仿宋" w:eastAsia="仿宋" w:cs="仿宋"/>
          <w:color w:val="auto"/>
          <w:sz w:val="24"/>
          <w:szCs w:val="24"/>
          <w:highlight w:val="none"/>
          <w:lang w:eastAsia="zh-CN"/>
        </w:rPr>
        <w:t xml:space="preserve">9</w:t>
      </w:r>
      <w:bookmarkEnd w:id="266"/>
      <w:r/>
      <w:bookmarkEnd w:id="267"/>
      <w:r/>
      <w:bookmarkEnd w:id="268"/>
      <w:r/>
      <w:bookmarkStart w:id="288" w:name="_Toc312677495"/>
      <w:r/>
      <w:bookmarkStart w:id="289" w:name="_Toc297123533"/>
      <w:r/>
      <w:bookmarkStart w:id="290" w:name="_Toc300934982"/>
      <w:r/>
      <w:bookmarkStart w:id="291" w:name="_Toc304295559"/>
      <w:r/>
      <w:bookmarkStart w:id="292" w:name="_Toc303539139"/>
      <w:r/>
      <w:bookmarkStart w:id="293" w:name="_Toc312678021"/>
      <w:r/>
      <w:bookmarkStart w:id="294" w:name="_Toc297216192"/>
      <w:r/>
      <w:bookmarkStart w:id="295" w:name="_Toc296503173"/>
      <w:r/>
      <w:bookmarkStart w:id="296" w:name="_Toc297120473"/>
      <w:r/>
      <w:bookmarkStart w:id="297" w:name="_Toc296891001"/>
      <w:r/>
      <w:bookmarkStart w:id="298" w:name="_Toc296891213"/>
      <w:r/>
      <w:bookmarkStart w:id="299" w:name="_Toc296944512"/>
      <w:r/>
      <w:bookmarkStart w:id="300" w:name="_Toc267251428"/>
      <w:r/>
      <w:bookmarkStart w:id="301" w:name="_Toc296346674"/>
      <w:r/>
      <w:bookmarkStart w:id="302" w:name="_Toc292559378"/>
      <w:r/>
      <w:bookmarkStart w:id="303" w:name="_Toc296347172"/>
      <w:r/>
      <w:bookmarkStart w:id="304" w:name="_Toc292559883"/>
      <w:r/>
      <w:bookmarkStart w:id="305" w:name="_Toc297048359"/>
      <w:r/>
      <w:bookmarkStart w:id="306" w:name="_Toc267251427"/>
      <w:r>
        <w:rPr>
          <w:rFonts w:hint="eastAsia" w:ascii="仿宋" w:hAnsi="仿宋" w:eastAsia="仿宋" w:cs="仿宋"/>
          <w:color w:val="auto"/>
          <w:sz w:val="24"/>
          <w:szCs w:val="24"/>
          <w:highlight w:val="none"/>
          <w:lang w:eastAsia="zh-CN"/>
        </w:rPr>
        <w:t xml:space="preserve">. 试验与检验</w:t>
      </w:r>
      <w:bookmarkEnd w:id="287"/>
      <w:r/>
      <w:bookmarkEnd w:id="288"/>
      <w:r/>
      <w:bookmarkEnd w:id="289"/>
      <w:r/>
      <w:bookmarkEnd w:id="290"/>
      <w:r/>
      <w:bookmarkEnd w:id="291"/>
      <w:r/>
      <w:bookmarkEnd w:id="292"/>
      <w:r/>
      <w:bookmarkEnd w:id="293"/>
      <w:r/>
      <w:bookmarkEnd w:id="294"/>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307" w:name="_Toc312678022"/>
      <w:r/>
      <w:bookmarkStart w:id="308" w:name="_Toc312677496"/>
      <w:r/>
      <w:bookmarkStart w:id="309" w:name="_Toc304295560"/>
      <w:r/>
      <w:bookmarkStart w:id="310" w:name="_Toc297123534"/>
      <w:r/>
      <w:bookmarkStart w:id="311" w:name="_Toc300934983"/>
      <w:r/>
      <w:bookmarkStart w:id="312" w:name="_Toc303539140"/>
      <w:r/>
      <w:bookmarkStart w:id="313" w:name="_Toc297216193"/>
      <w:r>
        <w:rPr>
          <w:rFonts w:hint="eastAsia" w:ascii="仿宋" w:hAnsi="仿宋" w:eastAsia="仿宋" w:cs="仿宋"/>
          <w:color w:val="auto"/>
          <w:sz w:val="24"/>
          <w:szCs w:val="24"/>
          <w:highlight w:val="none"/>
        </w:rPr>
        <w:t xml:space="preserve">.1试验设备与试验人员</w:t>
      </w:r>
      <w:bookmarkEnd w:id="307"/>
      <w:r/>
      <w:bookmarkEnd w:id="308"/>
      <w:r/>
      <w:bookmarkEnd w:id="309"/>
      <w:r/>
      <w:bookmarkEnd w:id="310"/>
      <w:r/>
      <w:bookmarkEnd w:id="311"/>
      <w:r/>
      <w:bookmarkEnd w:id="312"/>
      <w:r/>
      <w:bookmarkEnd w:id="313"/>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314" w:name="_Toc303539141"/>
      <w:r/>
      <w:bookmarkStart w:id="315" w:name="_Toc297123535"/>
      <w:r/>
      <w:bookmarkStart w:id="316" w:name="_Toc304295561"/>
      <w:r/>
      <w:bookmarkStart w:id="317" w:name="_Toc312677497"/>
      <w:r/>
      <w:bookmarkStart w:id="318" w:name="_Toc297216194"/>
      <w:r/>
      <w:bookmarkStart w:id="319" w:name="_Toc318581174"/>
      <w:r/>
      <w:bookmarkStart w:id="320" w:name="_Toc312678023"/>
      <w:r/>
      <w:bookmarkStart w:id="321" w:name="_Toc300934984"/>
      <w:r>
        <w:rPr>
          <w:rFonts w:hint="eastAsia" w:ascii="仿宋" w:hAnsi="仿宋" w:eastAsia="仿宋" w:cs="仿宋"/>
          <w:color w:val="auto"/>
          <w:sz w:val="24"/>
          <w:szCs w:val="24"/>
          <w:highlight w:val="none"/>
        </w:rPr>
        <w:t xml:space="preserve">.1.2 试验设备</w:t>
      </w:r>
      <w:bookmarkEnd w:id="314"/>
      <w:r/>
      <w:bookmarkEnd w:id="315"/>
      <w:r/>
      <w:bookmarkEnd w:id="316"/>
      <w:r/>
      <w:bookmarkEnd w:id="317"/>
      <w:r/>
      <w:bookmarkEnd w:id="318"/>
      <w:r/>
      <w:bookmarkEnd w:id="319"/>
      <w:r/>
      <w:bookmarkEnd w:id="320"/>
      <w:r/>
      <w:bookmarkEnd w:id="321"/>
      <w:r/>
      <w:r/>
    </w:p>
    <w:p>
      <w:pPr>
        <w:ind w:left="0" w:firstLine="480"/>
        <w:pageBreakBefore w:val="0"/>
        <w:spacing w:line="380" w:lineRule="exact"/>
        <w:widowControl w:val="off"/>
        <w:rPr>
          <w:rFonts w:hint="eastAsia" w:ascii="仿宋" w:hAnsi="仿宋" w:eastAsia="仿宋" w:cs="仿宋"/>
          <w:b w:val="0"/>
          <w:bCs w:val="0"/>
          <w:color w:val="auto"/>
          <w:sz w:val="24"/>
          <w:szCs w:val="24"/>
          <w:highlight w:val="none"/>
        </w:rPr>
      </w:pPr>
      <w:r/>
      <w:bookmarkStart w:id="322" w:name="_Toc351203642"/>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rPr>
        <w:t xml:space="preserve">按现行相关规定、质监部门的有关要求及监理</w:t>
      </w:r>
      <w:r>
        <w:rPr>
          <w:rFonts w:hint="eastAsia" w:ascii="仿宋" w:hAnsi="仿宋" w:eastAsia="仿宋" w:cs="仿宋"/>
          <w:color w:val="auto"/>
          <w:sz w:val="24"/>
          <w:szCs w:val="24"/>
          <w:highlight w:val="none"/>
          <w:u w:val="single"/>
          <w:lang w:eastAsia="zh-CN"/>
        </w:rPr>
        <w:t xml:space="preserve">人员</w:t>
      </w:r>
      <w:r>
        <w:rPr>
          <w:rFonts w:hint="eastAsia" w:ascii="仿宋" w:hAnsi="仿宋" w:eastAsia="仿宋" w:cs="仿宋"/>
          <w:color w:val="auto"/>
          <w:sz w:val="24"/>
          <w:szCs w:val="24"/>
          <w:highlight w:val="none"/>
          <w:u w:val="single"/>
        </w:rPr>
        <w:t xml:space="preserve">指示进行配</w:t>
      </w:r>
      <w:r>
        <w:rPr>
          <w:rFonts w:hint="eastAsia" w:ascii="仿宋" w:hAnsi="仿宋" w:eastAsia="仿宋" w:cs="仿宋"/>
          <w:b w:val="0"/>
          <w:bCs w:val="0"/>
          <w:color w:val="auto"/>
          <w:sz w:val="24"/>
          <w:szCs w:val="24"/>
          <w:highlight w:val="none"/>
          <w:u w:val="single"/>
        </w:rPr>
        <w:t xml:space="preserve">置 </w:t>
      </w:r>
      <w:r>
        <w:rPr>
          <w:rFonts w:hint="eastAsia" w:ascii="仿宋" w:hAnsi="仿宋" w:eastAsia="仿宋" w:cs="仿宋"/>
          <w:b w:val="0"/>
          <w:bCs w:val="0"/>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施工现场需要配备的试验设备：</w:t>
      </w:r>
      <w:r>
        <w:rPr>
          <w:rFonts w:hint="eastAsia" w:ascii="仿宋" w:hAnsi="仿宋" w:eastAsia="仿宋" w:cs="仿宋"/>
          <w:b w:val="0"/>
          <w:bCs w:val="0"/>
          <w:color w:val="auto"/>
          <w:sz w:val="24"/>
          <w:szCs w:val="24"/>
          <w:highlight w:val="none"/>
          <w:u w:val="single"/>
        </w:rPr>
        <w:t xml:space="preserve">按现行相关规定、质监部门的有关要求及监理</w:t>
      </w:r>
      <w:r>
        <w:rPr>
          <w:rFonts w:hint="eastAsia" w:ascii="仿宋" w:hAnsi="仿宋" w:eastAsia="仿宋" w:cs="仿宋"/>
          <w:b w:val="0"/>
          <w:bCs w:val="0"/>
          <w:color w:val="auto"/>
          <w:sz w:val="24"/>
          <w:szCs w:val="24"/>
          <w:highlight w:val="none"/>
          <w:u w:val="single"/>
          <w:lang w:eastAsia="zh-CN"/>
        </w:rPr>
        <w:t xml:space="preserve">人员</w:t>
      </w:r>
      <w:r>
        <w:rPr>
          <w:rFonts w:hint="eastAsia" w:ascii="仿宋" w:hAnsi="仿宋" w:eastAsia="仿宋" w:cs="仿宋"/>
          <w:b w:val="0"/>
          <w:bCs w:val="0"/>
          <w:color w:val="auto"/>
          <w:sz w:val="24"/>
          <w:szCs w:val="24"/>
          <w:highlight w:val="none"/>
          <w:u w:val="single"/>
        </w:rPr>
        <w:t xml:space="preserve">指示进行配置 </w:t>
      </w:r>
      <w:r>
        <w:rPr>
          <w:rFonts w:hint="eastAsia" w:ascii="仿宋" w:hAnsi="仿宋" w:eastAsia="仿宋" w:cs="仿宋"/>
          <w:b w:val="0"/>
          <w:bCs w:val="0"/>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施工现场需要具备的其他试验条件：</w:t>
      </w:r>
      <w:r>
        <w:rPr>
          <w:rFonts w:hint="eastAsia" w:ascii="仿宋" w:hAnsi="仿宋" w:eastAsia="仿宋" w:cs="仿宋"/>
          <w:b w:val="0"/>
          <w:bCs w:val="0"/>
          <w:color w:val="auto"/>
          <w:sz w:val="24"/>
          <w:szCs w:val="24"/>
          <w:highlight w:val="none"/>
          <w:u w:val="single"/>
        </w:rPr>
        <w:t xml:space="preserve">按现行相关规定、质监部门的有关要求及监理人指示进行配置 </w:t>
      </w:r>
      <w:r>
        <w:rPr>
          <w:rFonts w:hint="eastAsia" w:ascii="仿宋" w:hAnsi="仿宋" w:eastAsia="仿宋" w:cs="仿宋"/>
          <w:b w:val="0"/>
          <w:bCs w:val="0"/>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b w:val="0"/>
          <w:bCs w:val="0"/>
          <w:color w:val="auto"/>
          <w:sz w:val="24"/>
          <w:szCs w:val="24"/>
          <w:highlight w:val="none"/>
        </w:rPr>
        <w:outlineLvl w:val="0"/>
      </w:pPr>
      <w:r/>
      <w:bookmarkStart w:id="323" w:name="_Toc7613"/>
      <w:r/>
      <w:bookmarkStart w:id="324" w:name="_Toc6537"/>
      <w:r>
        <w:rPr>
          <w:rFonts w:hint="eastAsia" w:ascii="仿宋" w:hAnsi="仿宋" w:eastAsia="仿宋" w:cs="仿宋"/>
          <w:b w:val="0"/>
          <w:bCs w:val="0"/>
          <w:color w:val="auto"/>
          <w:sz w:val="24"/>
          <w:szCs w:val="24"/>
          <w:highlight w:val="none"/>
        </w:rPr>
        <w:t xml:space="preserve">9.</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 现场工艺试验</w:t>
      </w:r>
      <w:bookmarkEnd w:id="323"/>
      <w:r/>
      <w:bookmarkEnd w:id="324"/>
      <w:r>
        <w:rPr>
          <w:rFonts w:hint="eastAsia" w:ascii="仿宋" w:hAnsi="仿宋" w:eastAsia="仿宋" w:cs="仿宋"/>
          <w:b w:val="0"/>
          <w:bCs w:val="0"/>
          <w:color w:val="auto"/>
          <w:sz w:val="24"/>
          <w:szCs w:val="24"/>
          <w:highlight w:val="none"/>
        </w:rPr>
        <w:t xml:space="preserve"> </w:t>
      </w:r>
      <w:r/>
    </w:p>
    <w:p>
      <w:pPr>
        <w:pStyle w:val="694"/>
        <w:ind w:left="0" w:firstLine="480"/>
        <w:pageBreakBefore w:val="0"/>
        <w:spacing w:line="380" w:lineRule="exact"/>
        <w:widowControl w:val="off"/>
        <w:rPr>
          <w:rFonts w:hint="eastAsia" w:ascii="仿宋" w:hAnsi="仿宋" w:eastAsia="仿宋" w:cs="仿宋"/>
          <w:b w:val="0"/>
          <w:bCs w:val="0"/>
          <w:color w:val="auto"/>
          <w:sz w:val="24"/>
          <w:szCs w:val="24"/>
          <w:highlight w:val="none"/>
          <w:u w:val="single"/>
          <w:lang w:val="en-US" w:eastAsia="zh-CN" w:bidi="ar-SA"/>
        </w:rPr>
      </w:pPr>
      <w:r>
        <w:rPr>
          <w:rFonts w:hint="eastAsia" w:ascii="仿宋" w:hAnsi="仿宋" w:eastAsia="仿宋" w:cs="仿宋"/>
          <w:b w:val="0"/>
          <w:bCs w:val="0"/>
          <w:color w:val="auto"/>
          <w:sz w:val="24"/>
          <w:szCs w:val="24"/>
          <w:highlight w:val="none"/>
          <w:lang w:val="en-US" w:eastAsia="zh-CN" w:bidi="ar-SA"/>
        </w:rPr>
        <w:t xml:space="preserve">现场工艺试验的有关约定：</w:t>
      </w:r>
      <w:r>
        <w:rPr>
          <w:rFonts w:hint="eastAsia" w:ascii="仿宋" w:hAnsi="仿宋" w:eastAsia="仿宋" w:cs="仿宋"/>
          <w:b w:val="0"/>
          <w:bCs w:val="0"/>
          <w:color w:val="auto"/>
          <w:sz w:val="24"/>
          <w:szCs w:val="24"/>
          <w:highlight w:val="none"/>
          <w:u w:val="single"/>
          <w:lang w:val="en-US" w:eastAsia="zh-CN" w:bidi="ar-SA"/>
        </w:rPr>
        <w:t xml:space="preserve">按通用合同条款执行 </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Start w:id="325" w:name="_Toc296944532"/>
      <w:r/>
      <w:bookmarkStart w:id="326" w:name="_Toc297123540"/>
      <w:r/>
      <w:bookmarkStart w:id="327" w:name="_Toc296503193"/>
      <w:r/>
      <w:bookmarkStart w:id="328" w:name="_Toc312678025"/>
      <w:r/>
      <w:bookmarkStart w:id="329" w:name="_Toc297048379"/>
      <w:r/>
      <w:bookmarkStart w:id="330" w:name="_Toc297120493"/>
      <w:r/>
      <w:bookmarkStart w:id="331" w:name="_Toc297216199"/>
      <w:r/>
      <w:bookmarkStart w:id="332" w:name="_Toc296346694"/>
      <w:r/>
      <w:bookmarkStart w:id="333" w:name="_Toc292559398"/>
      <w:r/>
      <w:bookmarkStart w:id="334" w:name="_Toc296347192"/>
      <w:r/>
      <w:bookmarkStart w:id="335" w:name="_Toc312677499"/>
      <w:r/>
      <w:bookmarkStart w:id="336" w:name="_Toc296891233"/>
      <w:r/>
      <w:bookmarkStart w:id="337" w:name="_Toc292559903"/>
      <w:r/>
      <w:bookmarkStart w:id="338" w:name="_Toc304295566"/>
      <w:r/>
      <w:bookmarkStart w:id="339" w:name="_Toc300934989"/>
      <w:r/>
      <w:bookmarkStart w:id="340" w:name="_Toc296891021"/>
      <w:r/>
      <w:bookmarkStart w:id="341" w:name="_Toc303539146"/>
      <w:r/>
      <w:bookmarkStart w:id="342" w:name="_Toc267251439"/>
      <w:r/>
      <w:bookmarkStart w:id="343" w:name="_Toc267251435"/>
      <w:r/>
      <w:bookmarkStart w:id="344" w:name="_Toc267251433"/>
      <w:r/>
      <w:bookmarkStart w:id="345" w:name="_Toc267251440"/>
      <w:r/>
      <w:bookmarkStart w:id="346" w:name="_Toc267251437"/>
      <w:r/>
      <w:bookmarkStart w:id="347" w:name="_Toc267251441"/>
      <w:r/>
      <w:bookmarkStart w:id="348" w:name="_Toc267251442"/>
      <w:r>
        <w:rPr>
          <w:rFonts w:hint="eastAsia" w:ascii="仿宋" w:hAnsi="仿宋" w:eastAsia="仿宋" w:cs="仿宋"/>
          <w:color w:val="auto"/>
          <w:sz w:val="24"/>
          <w:szCs w:val="24"/>
          <w:highlight w:val="none"/>
          <w:lang w:eastAsia="zh-CN"/>
        </w:rPr>
        <w:t xml:space="preserve">0. 变更</w:t>
      </w:r>
      <w:bookmarkEnd w:id="322"/>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49" w:name="_Toc297048380"/>
      <w:r/>
      <w:bookmarkStart w:id="350" w:name="_Toc304295567"/>
      <w:r/>
      <w:bookmarkStart w:id="351" w:name="_Toc297216200"/>
      <w:r/>
      <w:bookmarkStart w:id="352" w:name="_Toc297120494"/>
      <w:r/>
      <w:bookmarkStart w:id="353" w:name="_Toc296347193"/>
      <w:r/>
      <w:bookmarkStart w:id="354" w:name="_Toc296346695"/>
      <w:r/>
      <w:bookmarkStart w:id="355" w:name="_Toc297123541"/>
      <w:r/>
      <w:bookmarkStart w:id="356" w:name="_Toc296944533"/>
      <w:r/>
      <w:bookmarkStart w:id="357" w:name="_Toc300934990"/>
      <w:r/>
      <w:bookmarkStart w:id="358" w:name="_Toc296891234"/>
      <w:r/>
      <w:bookmarkStart w:id="359" w:name="_Toc292559904"/>
      <w:r/>
      <w:bookmarkStart w:id="360" w:name="_Toc312678026"/>
      <w:r/>
      <w:bookmarkStart w:id="361" w:name="_Toc292559399"/>
      <w:r/>
      <w:bookmarkStart w:id="362" w:name="_Toc296891022"/>
      <w:r/>
      <w:bookmarkStart w:id="363" w:name="_Toc312677500"/>
      <w:r/>
      <w:bookmarkStart w:id="364" w:name="_Toc303539147"/>
      <w:r/>
      <w:bookmarkStart w:id="365" w:name="_Toc296503194"/>
      <w:r>
        <w:rPr>
          <w:rFonts w:hint="eastAsia" w:ascii="仿宋" w:hAnsi="仿宋" w:eastAsia="仿宋" w:cs="仿宋"/>
          <w:color w:val="auto"/>
          <w:sz w:val="24"/>
          <w:szCs w:val="24"/>
          <w:highlight w:val="none"/>
        </w:rPr>
        <w:t xml:space="preserve">0.1变更的范围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按通用合同条款执行</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变更估价</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 变更估价原则</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w:t>
      </w:r>
      <w:r>
        <w:rPr>
          <w:rFonts w:hint="eastAsia" w:ascii="仿宋" w:hAnsi="仿宋" w:eastAsia="仿宋" w:cs="仿宋"/>
          <w:color w:val="auto"/>
          <w:sz w:val="24"/>
          <w:szCs w:val="24"/>
          <w:highlight w:val="none"/>
          <w:u w:val="single"/>
        </w:rPr>
        <w:t xml:space="preserve">同投标报价中人工、材料、机械、管理费、利润以及各项措施项目费用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Start w:id="366" w:name="_Toc297120497"/>
      <w:r/>
      <w:bookmarkStart w:id="367" w:name="_Toc296891025"/>
      <w:r/>
      <w:bookmarkStart w:id="368" w:name="_Toc296891237"/>
      <w:r/>
      <w:bookmarkStart w:id="369" w:name="_Toc296944536"/>
      <w:r/>
      <w:bookmarkStart w:id="370" w:name="_Toc292559907"/>
      <w:r/>
      <w:bookmarkStart w:id="371" w:name="_Toc297216203"/>
      <w:r/>
      <w:bookmarkStart w:id="372" w:name="_Toc292559402"/>
      <w:r/>
      <w:bookmarkStart w:id="373" w:name="_Toc296503197"/>
      <w:r/>
      <w:bookmarkStart w:id="374" w:name="_Toc297123544"/>
      <w:r/>
      <w:bookmarkStart w:id="375" w:name="_Toc300934993"/>
      <w:r/>
      <w:bookmarkStart w:id="376" w:name="_Toc297048383"/>
      <w:r/>
      <w:bookmarkStart w:id="377" w:name="_Toc296347196"/>
      <w:r/>
      <w:bookmarkStart w:id="378" w:name="_Toc296346698"/>
      <w:r/>
      <w:bookmarkStart w:id="379" w:name="_Toc303539150"/>
      <w:r/>
      <w:bookmarkStart w:id="380" w:name="_Toc312678029"/>
      <w:r/>
      <w:bookmarkStart w:id="381" w:name="_Toc312677503"/>
      <w:r/>
      <w:bookmarkStart w:id="382" w:name="_Toc304295570"/>
      <w:r>
        <w:rPr>
          <w:rFonts w:hint="eastAsia"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承</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Start w:id="383" w:name="_Toc300934994"/>
      <w:r/>
      <w:bookmarkStart w:id="384" w:name="_Toc297123545"/>
      <w:r/>
      <w:bookmarkStart w:id="385" w:name="_Toc303539151"/>
      <w:r/>
      <w:bookmarkStart w:id="386" w:name="_Toc296346704"/>
      <w:r/>
      <w:bookmarkStart w:id="387" w:name="_Toc297216204"/>
      <w:r/>
      <w:bookmarkStart w:id="388" w:name="_Toc292559408"/>
      <w:r/>
      <w:bookmarkStart w:id="389" w:name="_Toc296347202"/>
      <w:r/>
      <w:bookmarkStart w:id="390" w:name="_Toc296891031"/>
      <w:r/>
      <w:bookmarkStart w:id="391" w:name="_Toc296891243"/>
      <w:r/>
      <w:bookmarkStart w:id="392" w:name="_Toc296944542"/>
      <w:r/>
      <w:bookmarkStart w:id="393" w:name="_Toc292559913"/>
      <w:r/>
      <w:bookmarkStart w:id="394" w:name="_Toc297048389"/>
      <w:r/>
      <w:bookmarkStart w:id="395" w:name="_Toc296503203"/>
      <w:r/>
      <w:bookmarkStart w:id="396" w:name="_Toc297120503"/>
      <w:r>
        <w:rPr>
          <w:rFonts w:hint="eastAsia" w:ascii="仿宋" w:hAnsi="仿宋" w:eastAsia="仿宋" w:cs="仿宋"/>
          <w:color w:val="auto"/>
          <w:sz w:val="24"/>
          <w:szCs w:val="24"/>
          <w:highlight w:val="none"/>
        </w:rPr>
        <w:t xml:space="preserve">包人的合理化建议</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按通用合同条款执行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按通用合同条款执行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397" w:name="_Toc296503204"/>
      <w:r/>
      <w:bookmarkStart w:id="398" w:name="_Toc297048390"/>
      <w:r/>
      <w:bookmarkStart w:id="399" w:name="_Toc296346705"/>
      <w:r/>
      <w:bookmarkStart w:id="400" w:name="_Toc312677504"/>
      <w:r/>
      <w:bookmarkStart w:id="401" w:name="_Toc296891032"/>
      <w:r/>
      <w:bookmarkStart w:id="402" w:name="_Toc303539152"/>
      <w:r/>
      <w:bookmarkStart w:id="403" w:name="_Toc312678030"/>
      <w:r/>
      <w:bookmarkStart w:id="404" w:name="_Toc296347203"/>
      <w:r/>
      <w:bookmarkStart w:id="405" w:name="_Toc297120504"/>
      <w:r/>
      <w:bookmarkStart w:id="406" w:name="_Toc304295571"/>
      <w:r/>
      <w:bookmarkStart w:id="407" w:name="_Toc318581175"/>
      <w:r/>
      <w:bookmarkStart w:id="408" w:name="_Toc297123546"/>
      <w:r/>
      <w:bookmarkStart w:id="409" w:name="_Toc296944543"/>
      <w:r/>
      <w:bookmarkStart w:id="410" w:name="_Toc297216205"/>
      <w:r/>
      <w:bookmarkStart w:id="411" w:name="_Toc296891244"/>
      <w:r/>
      <w:bookmarkStart w:id="412" w:name="_Toc300934995"/>
      <w:r/>
      <w:bookmarkStart w:id="413" w:name="_Toc292559409"/>
      <w:r/>
      <w:bookmarkStart w:id="414" w:name="_Toc292559914"/>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w:t>
      </w:r>
      <w:bookmarkStart w:id="415" w:name="_Toc292559909"/>
      <w:r/>
      <w:bookmarkStart w:id="416" w:name="_Toc312677507"/>
      <w:r/>
      <w:bookmarkStart w:id="417" w:name="_Toc296346700"/>
      <w:r/>
      <w:bookmarkStart w:id="418" w:name="_Toc297120499"/>
      <w:r/>
      <w:bookmarkStart w:id="419" w:name="_Toc297123548"/>
      <w:r/>
      <w:bookmarkStart w:id="420" w:name="_Toc312678033"/>
      <w:r/>
      <w:bookmarkStart w:id="421" w:name="_Toc304295574"/>
      <w:r/>
      <w:bookmarkStart w:id="422" w:name="_Toc303539154"/>
      <w:r/>
      <w:bookmarkStart w:id="423" w:name="_Toc296891239"/>
      <w:r/>
      <w:bookmarkStart w:id="424" w:name="_Toc296891027"/>
      <w:r/>
      <w:bookmarkStart w:id="425" w:name="_Toc297216207"/>
      <w:r/>
      <w:bookmarkStart w:id="426" w:name="_Toc297048385"/>
      <w:r/>
      <w:bookmarkStart w:id="427" w:name="_Toc300934997"/>
      <w:r/>
      <w:bookmarkStart w:id="428" w:name="_Toc296503199"/>
      <w:r/>
      <w:bookmarkStart w:id="429" w:name="_Toc292559404"/>
      <w:r/>
      <w:bookmarkStart w:id="430" w:name="_Toc296944538"/>
      <w:r/>
      <w:bookmarkStart w:id="431" w:name="_Toc296347198"/>
      <w:r>
        <w:rPr>
          <w:rFonts w:hint="eastAsia"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暂估价</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w:t>
      </w:r>
      <w:bookmarkStart w:id="432" w:name="_Toc312677508"/>
      <w:r/>
      <w:bookmarkStart w:id="433" w:name="_Toc318581176"/>
      <w:r/>
      <w:bookmarkStart w:id="434" w:name="_Toc312678034"/>
      <w:r>
        <w:rPr>
          <w:rFonts w:hint="eastAsia" w:ascii="仿宋" w:hAnsi="仿宋" w:eastAsia="仿宋" w:cs="仿宋"/>
          <w:color w:val="auto"/>
          <w:sz w:val="24"/>
          <w:szCs w:val="24"/>
          <w:highlight w:val="none"/>
        </w:rPr>
        <w:t xml:space="preserve">估价材料和工程设备的明细详见附件11：《暂估价一览表》。</w:t>
      </w:r>
      <w:bookmarkEnd w:id="432"/>
      <w:r/>
      <w:bookmarkEnd w:id="433"/>
      <w:r/>
      <w:bookmarkEnd w:id="434"/>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435" w:name="_Toc312677509"/>
      <w:r/>
      <w:bookmarkStart w:id="436" w:name="_Toc318581177"/>
      <w:r/>
      <w:bookmarkStart w:id="437" w:name="_Toc312678035"/>
      <w:r>
        <w:rPr>
          <w:rFonts w:hint="eastAsia"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依法必须招标的暂估价项目</w:t>
      </w:r>
      <w:bookmarkEnd w:id="435"/>
      <w:r/>
      <w:bookmarkEnd w:id="436"/>
      <w:r/>
      <w:bookmarkEnd w:id="437"/>
      <w:r/>
      <w:r/>
    </w:p>
    <w:p>
      <w:pPr>
        <w:ind w:left="0" w:firstLine="480"/>
        <w:jc w:val="left"/>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对于依法必须招标的暂估价项目的确认和批准采取第</w:t>
      </w:r>
      <w:r>
        <w:rPr>
          <w:rFonts w:hint="eastAsia" w:ascii="仿宋" w:hAnsi="仿宋" w:eastAsia="仿宋" w:cs="仿宋"/>
          <w:color w:val="auto"/>
          <w:sz w:val="24"/>
          <w:szCs w:val="24"/>
          <w:highlight w:val="none"/>
          <w:lang w:val="en-US" w:eastAsia="zh-CN"/>
        </w:rPr>
        <w:t xml:space="preserve">2 </w:t>
      </w:r>
      <w:r>
        <w:rPr>
          <w:rFonts w:hint="eastAsia" w:ascii="仿宋" w:hAnsi="仿宋" w:eastAsia="仿宋" w:cs="仿宋"/>
          <w:color w:val="auto"/>
          <w:sz w:val="24"/>
          <w:szCs w:val="24"/>
          <w:highlight w:val="none"/>
        </w:rPr>
        <w:t xml:space="preserve">种方式确定。</w:t>
      </w:r>
      <w:r>
        <w:rPr>
          <w:rFonts w:hint="eastAsia" w:ascii="仿宋" w:hAnsi="仿宋" w:eastAsia="仿宋" w:cs="仿宋"/>
          <w:color w:val="auto"/>
          <w:sz w:val="24"/>
          <w:szCs w:val="24"/>
          <w:highlight w:val="none"/>
          <w:u w:val="single"/>
        </w:rPr>
        <w:t xml:space="preserve">该种方式调整补充约定：发包人在工程量清单中给定的暂估价项目，承包人应按照施工</w:t>
      </w:r>
      <w:r>
        <w:rPr>
          <w:rFonts w:hint="eastAsia" w:ascii="仿宋" w:hAnsi="仿宋" w:eastAsia="仿宋" w:cs="仿宋"/>
          <w:color w:val="auto"/>
          <w:sz w:val="24"/>
          <w:szCs w:val="24"/>
          <w:highlight w:val="none"/>
          <w:u w:val="single"/>
        </w:rPr>
        <w:t xml:space="preserve">进度计划，在招标工作启动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投标文件和现场实际情况等进行审计。承包人已充分理解上述情况可能产生的风险及费用并在投标报价时已综合考虑，保证不再向发包人</w:t>
      </w:r>
      <w:r>
        <w:rPr>
          <w:rFonts w:hint="eastAsia" w:ascii="仿宋" w:hAnsi="仿宋" w:eastAsia="仿宋" w:cs="仿宋"/>
          <w:color w:val="auto"/>
          <w:sz w:val="24"/>
          <w:szCs w:val="24"/>
          <w:highlight w:val="none"/>
          <w:u w:val="single"/>
          <w:lang w:eastAsia="zh-CN"/>
        </w:rPr>
        <w:t xml:space="preserve">提出其他</w:t>
      </w:r>
      <w:r>
        <w:rPr>
          <w:rFonts w:hint="eastAsia" w:ascii="仿宋" w:hAnsi="仿宋" w:eastAsia="仿宋" w:cs="仿宋"/>
          <w:color w:val="auto"/>
          <w:sz w:val="24"/>
          <w:szCs w:val="24"/>
          <w:highlight w:val="none"/>
          <w:u w:val="single"/>
        </w:rPr>
        <w:t xml:space="preserve">额外费用补偿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如果出现招投标监管平台仅允许发包人作为招标人实施暂估价项目招标时，承包人仍然同意按照上述条款执行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不属于依法必须招标的暂估价项目</w:t>
      </w:r>
      <w:r/>
    </w:p>
    <w:p>
      <w:pPr>
        <w:ind w:left="0"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对于不属于依法必须招标的暂估价项目的确认和批准采取第</w:t>
      </w:r>
      <w:r>
        <w:rPr>
          <w:rFonts w:hint="eastAsia" w:ascii="仿宋" w:hAnsi="仿宋" w:eastAsia="仿宋" w:cs="仿宋"/>
          <w:color w:val="auto"/>
          <w:sz w:val="24"/>
          <w:szCs w:val="24"/>
          <w:highlight w:val="none"/>
          <w:u w:val="single"/>
        </w:rPr>
        <w:t xml:space="preserve"> 1  </w:t>
      </w:r>
      <w:r>
        <w:rPr>
          <w:rFonts w:hint="eastAsia" w:ascii="仿宋" w:hAnsi="仿宋" w:eastAsia="仿宋" w:cs="仿宋"/>
          <w:color w:val="auto"/>
          <w:sz w:val="24"/>
          <w:szCs w:val="24"/>
          <w:highlight w:val="none"/>
        </w:rPr>
        <w:t xml:space="preserve"> 种方式确定。</w:t>
      </w:r>
      <w:r/>
    </w:p>
    <w:p>
      <w:pPr>
        <w:ind w:left="0"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发包人在工程量清单中给定的专业工程暂估价，按相关法律法规规定，如可直接发包给承包人的，须经发包人批准，但在竣工结算时，审计单位将依据原招标文件、投标文件、总承包合同、投标让利幅度及现场实际情况等进行审计，否则按照专用合同条款第10.7.1项约定执行 。</w:t>
      </w:r>
      <w:r/>
    </w:p>
    <w:p>
      <w:pPr>
        <w:ind w:left="0"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第3种方式：承包人直接实施的暂估价项目</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承包人直接实施的暂估价项目的约定：</w:t>
      </w:r>
      <w:r>
        <w:rPr>
          <w:rFonts w:hint="eastAsia" w:ascii="仿宋" w:hAnsi="仿宋" w:eastAsia="仿宋" w:cs="仿宋"/>
          <w:color w:val="auto"/>
          <w:sz w:val="24"/>
          <w:szCs w:val="24"/>
          <w:highlight w:val="none"/>
          <w:u w:val="single"/>
        </w:rPr>
        <w:t xml:space="preserve"> /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暂列金额</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暂列金额归发包人所有或使用</w:t>
      </w:r>
      <w:r>
        <w:rPr>
          <w:rFonts w:hint="eastAsia" w:ascii="仿宋" w:hAnsi="仿宋" w:eastAsia="仿宋" w:cs="仿宋"/>
          <w:color w:val="auto"/>
          <w:sz w:val="24"/>
          <w:szCs w:val="24"/>
          <w:highlight w:val="none"/>
        </w:rPr>
        <w:t xml:space="preserve">。</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438" w:name="_Toc351203643"/>
      <w:r>
        <w:rPr>
          <w:rFonts w:hint="eastAsia" w:ascii="仿宋" w:hAnsi="仿宋" w:eastAsia="仿宋" w:cs="仿宋"/>
          <w:color w:val="auto"/>
          <w:sz w:val="24"/>
          <w:szCs w:val="24"/>
          <w:highlight w:val="none"/>
          <w:lang w:eastAsia="zh-CN"/>
        </w:rPr>
        <w:t xml:space="preserve">11. 价格调整</w:t>
      </w:r>
      <w:bookmarkEnd w:id="438"/>
      <w:r/>
      <w:r/>
    </w:p>
    <w:p>
      <w:pPr>
        <w:ind w:left="0" w:firstLine="480"/>
        <w:pageBreakBefore w:val="0"/>
        <w:spacing w:line="380" w:lineRule="exact"/>
        <w:widowControl w:val="off"/>
        <w:rPr>
          <w:rFonts w:hint="eastAsia" w:ascii="仿宋" w:hAnsi="仿宋" w:eastAsia="仿宋" w:cs="仿宋"/>
          <w:color w:val="auto"/>
          <w:sz w:val="24"/>
          <w:szCs w:val="24"/>
          <w:highlight w:val="none"/>
        </w:rPr>
      </w:pPr>
      <w:r/>
      <w:bookmarkStart w:id="439" w:name="_Toc292559406"/>
      <w:r/>
      <w:bookmarkStart w:id="440" w:name="_Toc312678039"/>
      <w:r/>
      <w:bookmarkStart w:id="441" w:name="_Toc304295577"/>
      <w:r/>
      <w:bookmarkStart w:id="442" w:name="_Toc292559911"/>
      <w:r/>
      <w:bookmarkStart w:id="443" w:name="_Toc297048387"/>
      <w:r/>
      <w:bookmarkStart w:id="444" w:name="_Toc300935000"/>
      <w:r/>
      <w:bookmarkStart w:id="445" w:name="_Toc296503201"/>
      <w:r/>
      <w:bookmarkStart w:id="446" w:name="_Toc296347200"/>
      <w:r/>
      <w:bookmarkStart w:id="447" w:name="_Toc297123550"/>
      <w:r/>
      <w:bookmarkStart w:id="448" w:name="_Toc296346702"/>
      <w:r/>
      <w:bookmarkStart w:id="449" w:name="_Toc296891029"/>
      <w:r/>
      <w:bookmarkStart w:id="450" w:name="_Toc296891241"/>
      <w:r/>
      <w:bookmarkStart w:id="451" w:name="_Toc297120501"/>
      <w:r/>
      <w:bookmarkStart w:id="452" w:name="_Toc297216209"/>
      <w:r/>
      <w:bookmarkStart w:id="453" w:name="_Toc303539157"/>
      <w:r/>
      <w:bookmarkStart w:id="454" w:name="_Toc296944540"/>
      <w:r>
        <w:rPr>
          <w:rFonts w:hint="eastAsia" w:ascii="仿宋" w:hAnsi="仿宋" w:eastAsia="仿宋" w:cs="仿宋"/>
          <w:color w:val="auto"/>
          <w:sz w:val="24"/>
          <w:szCs w:val="24"/>
          <w:highlight w:val="none"/>
        </w:rPr>
        <w:t xml:space="preserve">11.1 市场价格波动引起的调整</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color w:val="auto"/>
          <w:sz w:val="24"/>
          <w:szCs w:val="24"/>
          <w:highlight w:val="none"/>
          <w:u w:val="single"/>
        </w:rPr>
        <w:t xml:space="preserve">   不调整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rPr>
        <w:t xml:space="preserve">种方式对合同价格进行调整：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第1种方式：采用价格指数进行价格调整。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第2种方式：采用造价信息进行价格调整。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（2）关于基准价格的约定</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第3种方式：其他价格调整方式：</w:t>
      </w:r>
      <w:r>
        <w:rPr>
          <w:rFonts w:hint="eastAsia" w:ascii="仿宋" w:hAnsi="仿宋" w:eastAsia="仿宋" w:cs="仿宋"/>
          <w:color w:val="auto"/>
          <w:sz w:val="24"/>
          <w:szCs w:val="24"/>
          <w:highlight w:val="none"/>
          <w:u w:val="single"/>
        </w:rPr>
        <w:t xml:space="preserve">   同投标报价     </w:t>
      </w:r>
      <w:r>
        <w:rPr>
          <w:rFonts w:hint="eastAsia" w:ascii="仿宋" w:hAnsi="仿宋" w:eastAsia="仿宋" w:cs="仿宋"/>
          <w:color w:val="auto"/>
          <w:sz w:val="24"/>
          <w:szCs w:val="24"/>
          <w:highlight w:val="none"/>
        </w:rPr>
        <w:t xml:space="preserve">。</w:t>
      </w:r>
      <w:bookmarkEnd w:id="342"/>
      <w:r/>
      <w:bookmarkEnd w:id="343"/>
      <w:r/>
      <w:bookmarkEnd w:id="344"/>
      <w:r/>
      <w:bookmarkEnd w:id="345"/>
      <w:r/>
      <w:bookmarkEnd w:id="346"/>
      <w:r/>
      <w:bookmarkEnd w:id="347"/>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455" w:name="_Toc296347204"/>
      <w:r/>
      <w:bookmarkStart w:id="456" w:name="_Toc296503205"/>
      <w:r/>
      <w:bookmarkStart w:id="457" w:name="_Toc297120505"/>
      <w:r/>
      <w:bookmarkStart w:id="458" w:name="_Toc296891245"/>
      <w:r/>
      <w:bookmarkStart w:id="459" w:name="_Toc296944544"/>
      <w:r/>
      <w:bookmarkStart w:id="460" w:name="_Toc292559410"/>
      <w:r/>
      <w:bookmarkStart w:id="461" w:name="_Toc296346706"/>
      <w:r/>
      <w:bookmarkStart w:id="462" w:name="_Toc297048391"/>
      <w:r/>
      <w:bookmarkStart w:id="463" w:name="_Toc292559915"/>
      <w:r/>
      <w:bookmarkStart w:id="464" w:name="_Toc296891033"/>
      <w:r/>
      <w:bookmarkStart w:id="465" w:name="_Toc303539159"/>
      <w:r/>
      <w:bookmarkStart w:id="466" w:name="_Toc351203644"/>
      <w:r/>
      <w:bookmarkStart w:id="467" w:name="_Toc297123552"/>
      <w:r/>
      <w:bookmarkStart w:id="468" w:name="_Toc300935002"/>
      <w:r/>
      <w:bookmarkStart w:id="469" w:name="_Toc312678040"/>
      <w:r/>
      <w:bookmarkStart w:id="470" w:name="_Toc297216211"/>
      <w:r/>
      <w:bookmarkStart w:id="471" w:name="_Toc304295579"/>
      <w:r>
        <w:rPr>
          <w:rFonts w:hint="eastAsia" w:ascii="仿宋" w:hAnsi="仿宋" w:eastAsia="仿宋" w:cs="仿宋"/>
          <w:color w:val="auto"/>
          <w:sz w:val="24"/>
          <w:szCs w:val="24"/>
          <w:highlight w:val="none"/>
          <w:lang w:eastAsia="zh-CN"/>
        </w:rPr>
        <w:t xml:space="preserve">12. </w:t>
      </w:r>
      <w:bookmarkEnd w:id="455"/>
      <w:r/>
      <w:bookmarkEnd w:id="456"/>
      <w:r/>
      <w:bookmarkEnd w:id="457"/>
      <w:r/>
      <w:bookmarkEnd w:id="458"/>
      <w:r/>
      <w:bookmarkEnd w:id="459"/>
      <w:r/>
      <w:bookmarkEnd w:id="460"/>
      <w:r/>
      <w:bookmarkEnd w:id="461"/>
      <w:r/>
      <w:bookmarkEnd w:id="462"/>
      <w:r/>
      <w:bookmarkEnd w:id="463"/>
      <w:r/>
      <w:bookmarkEnd w:id="464"/>
      <w:r>
        <w:rPr>
          <w:rFonts w:hint="eastAsia" w:ascii="仿宋" w:hAnsi="仿宋" w:eastAsia="仿宋" w:cs="仿宋"/>
          <w:color w:val="auto"/>
          <w:sz w:val="24"/>
          <w:szCs w:val="24"/>
          <w:highlight w:val="none"/>
          <w:lang w:eastAsia="zh-CN"/>
        </w:rPr>
        <w:t xml:space="preserve">合同价格、计量与支付</w:t>
      </w:r>
      <w:bookmarkEnd w:id="465"/>
      <w:r/>
      <w:bookmarkEnd w:id="466"/>
      <w:r/>
      <w:bookmarkEnd w:id="467"/>
      <w:r/>
      <w:bookmarkEnd w:id="468"/>
      <w:r/>
      <w:bookmarkEnd w:id="469"/>
      <w:r/>
      <w:bookmarkEnd w:id="470"/>
      <w:r/>
      <w:bookmarkEnd w:id="471"/>
      <w:r/>
      <w:r/>
    </w:p>
    <w:p>
      <w:pPr>
        <w:ind w:left="0" w:firstLine="480"/>
        <w:pageBreakBefore w:val="0"/>
        <w:spacing w:line="380" w:lineRule="exact"/>
        <w:widowControl w:val="off"/>
        <w:rPr>
          <w:rFonts w:hint="eastAsia" w:ascii="仿宋" w:hAnsi="仿宋" w:eastAsia="仿宋" w:cs="仿宋"/>
          <w:color w:val="auto"/>
          <w:sz w:val="24"/>
          <w:szCs w:val="24"/>
          <w:highlight w:val="none"/>
        </w:rPr>
      </w:pPr>
      <w:r/>
      <w:bookmarkStart w:id="472" w:name="_Toc292559411"/>
      <w:r/>
      <w:bookmarkStart w:id="473" w:name="_Toc267251461"/>
      <w:r/>
      <w:bookmarkStart w:id="474" w:name="_Toc292559916"/>
      <w:r/>
      <w:bookmarkStart w:id="475" w:name="_Toc297048392"/>
      <w:r/>
      <w:bookmarkStart w:id="476" w:name="_Toc296503206"/>
      <w:r/>
      <w:bookmarkStart w:id="477" w:name="_Toc297120506"/>
      <w:r/>
      <w:bookmarkStart w:id="478" w:name="_Toc296347205"/>
      <w:r/>
      <w:bookmarkStart w:id="479" w:name="_Toc296891246"/>
      <w:r/>
      <w:bookmarkStart w:id="480" w:name="_Toc296944545"/>
      <w:r/>
      <w:bookmarkStart w:id="481" w:name="_Toc296891034"/>
      <w:r/>
      <w:bookmarkStart w:id="482" w:name="_Toc296346707"/>
      <w:r/>
      <w:bookmarkStart w:id="483" w:name="_Toc303539160"/>
      <w:r/>
      <w:bookmarkStart w:id="484" w:name="_Toc297216212"/>
      <w:r/>
      <w:bookmarkStart w:id="485" w:name="_Toc304295580"/>
      <w:r/>
      <w:bookmarkStart w:id="486" w:name="_Toc300935003"/>
      <w:r/>
      <w:bookmarkStart w:id="487" w:name="_Toc312678041"/>
      <w:r/>
      <w:bookmarkStart w:id="488" w:name="_Toc297123553"/>
      <w:r>
        <w:rPr>
          <w:rFonts w:hint="eastAsia" w:ascii="仿宋" w:hAnsi="仿宋" w:eastAsia="仿宋" w:cs="仿宋"/>
          <w:color w:val="auto"/>
          <w:sz w:val="24"/>
          <w:szCs w:val="24"/>
          <w:highlight w:val="none"/>
        </w:rPr>
        <w:t xml:space="preserve">12.1 合</w:t>
      </w:r>
      <w:bookmarkEnd w:id="472"/>
      <w:r/>
      <w:bookmarkEnd w:id="473"/>
      <w:r/>
      <w:bookmarkEnd w:id="474"/>
      <w:r>
        <w:rPr>
          <w:rFonts w:hint="eastAsia" w:ascii="仿宋" w:hAnsi="仿宋" w:eastAsia="仿宋" w:cs="仿宋"/>
          <w:color w:val="auto"/>
          <w:sz w:val="24"/>
          <w:szCs w:val="24"/>
          <w:highlight w:val="none"/>
        </w:rPr>
        <w:t xml:space="preserve">同价</w:t>
      </w:r>
      <w:bookmarkEnd w:id="475"/>
      <w:r/>
      <w:bookmarkEnd w:id="476"/>
      <w:r/>
      <w:bookmarkEnd w:id="477"/>
      <w:r/>
      <w:bookmarkEnd w:id="478"/>
      <w:r/>
      <w:bookmarkEnd w:id="479"/>
      <w:r/>
      <w:bookmarkEnd w:id="480"/>
      <w:r/>
      <w:bookmarkEnd w:id="481"/>
      <w:r/>
      <w:bookmarkEnd w:id="482"/>
      <w:r>
        <w:rPr>
          <w:rFonts w:hint="eastAsia" w:ascii="仿宋" w:hAnsi="仿宋" w:eastAsia="仿宋" w:cs="仿宋"/>
          <w:color w:val="auto"/>
          <w:sz w:val="24"/>
          <w:szCs w:val="24"/>
          <w:highlight w:val="none"/>
        </w:rPr>
        <w:t xml:space="preserve">格形式</w:t>
      </w:r>
      <w:bookmarkEnd w:id="483"/>
      <w:r/>
      <w:bookmarkEnd w:id="484"/>
      <w:r/>
      <w:bookmarkEnd w:id="485"/>
      <w:r/>
      <w:bookmarkEnd w:id="486"/>
      <w:r/>
      <w:bookmarkEnd w:id="487"/>
      <w:r/>
      <w:bookmarkEnd w:id="488"/>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综合单价包含的风险范围：</w:t>
      </w:r>
      <w:r>
        <w:rPr>
          <w:rFonts w:hint="eastAsia" w:ascii="仿宋" w:hAnsi="仿宋" w:eastAsia="仿宋" w:cs="仿宋"/>
          <w:color w:val="auto"/>
          <w:sz w:val="24"/>
          <w:szCs w:val="24"/>
          <w:highlight w:val="none"/>
          <w:u w:val="single"/>
        </w:rPr>
        <w:t xml:space="preserve">承包人投标时充分考虑施工期间材料</w:t>
      </w:r>
      <w:r>
        <w:rPr>
          <w:rFonts w:hint="eastAsia" w:ascii="仿宋" w:hAnsi="仿宋" w:eastAsia="仿宋" w:cs="仿宋"/>
          <w:color w:val="auto"/>
          <w:sz w:val="24"/>
          <w:szCs w:val="24"/>
          <w:highlight w:val="none"/>
          <w:u w:val="single"/>
          <w:lang w:eastAsia="zh-CN"/>
        </w:rPr>
        <w:t xml:space="preserve">及其他风险</w:t>
      </w:r>
      <w:r>
        <w:rPr>
          <w:rFonts w:hint="eastAsia" w:ascii="仿宋" w:hAnsi="仿宋" w:eastAsia="仿宋" w:cs="仿宋"/>
          <w:color w:val="auto"/>
          <w:sz w:val="24"/>
          <w:szCs w:val="24"/>
          <w:highlight w:val="none"/>
          <w:u w:val="single"/>
        </w:rPr>
        <w:t xml:space="preserve">并在投标时计算风险费用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图纸变更需经甲方并报文字材料同意后实施，设计变更工程量按</w:t>
      </w:r>
      <w:r>
        <w:rPr>
          <w:rFonts w:hint="eastAsia" w:ascii="仿宋" w:hAnsi="仿宋" w:eastAsia="仿宋" w:cs="仿宋"/>
          <w:color w:val="auto"/>
          <w:sz w:val="24"/>
          <w:szCs w:val="24"/>
          <w:highlight w:val="none"/>
          <w:u w:val="single"/>
          <w:lang w:eastAsia="zh-CN"/>
        </w:rPr>
        <w:t xml:space="preserve">实际</w:t>
      </w:r>
      <w:r>
        <w:rPr>
          <w:rFonts w:hint="eastAsia" w:ascii="仿宋" w:hAnsi="仿宋" w:eastAsia="仿宋" w:cs="仿宋"/>
          <w:color w:val="auto"/>
          <w:sz w:val="24"/>
          <w:szCs w:val="24"/>
          <w:highlight w:val="none"/>
          <w:u w:val="single"/>
        </w:rPr>
        <w:t xml:space="preserve">调整，其增减部分价格按投标报价。工程竣工后由政府审计机关审核确定总造价</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对工程中隐蔽工程的工程量要</w:t>
      </w:r>
      <w:r>
        <w:rPr>
          <w:rFonts w:hint="eastAsia" w:ascii="仿宋" w:hAnsi="仿宋" w:eastAsia="仿宋" w:cs="仿宋"/>
          <w:color w:val="auto"/>
          <w:sz w:val="24"/>
          <w:szCs w:val="24"/>
          <w:highlight w:val="none"/>
          <w:u w:val="single"/>
          <w:lang w:eastAsia="zh-CN"/>
        </w:rPr>
        <w:t xml:space="preserve">在施工</w:t>
      </w:r>
      <w:r>
        <w:rPr>
          <w:rFonts w:hint="eastAsia" w:ascii="仿宋" w:hAnsi="仿宋" w:eastAsia="仿宋" w:cs="仿宋"/>
          <w:color w:val="auto"/>
          <w:sz w:val="24"/>
          <w:szCs w:val="24"/>
          <w:highlight w:val="none"/>
          <w:u w:val="single"/>
        </w:rPr>
        <w:t xml:space="preserve">前申报，工序结束时10日内完成相关手续，实行监理、跟踪审计（如有）、甲方现场负责人及主管人员共同签字完成，对未完成相关手续视同未做，相关方不再补签。</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按文件约定应由业主交纳的材料检测费用（含见证取样费用），渣土</w:t>
      </w:r>
      <w:r>
        <w:rPr>
          <w:rFonts w:hint="eastAsia" w:ascii="仿宋" w:hAnsi="仿宋" w:eastAsia="仿宋" w:cs="仿宋"/>
          <w:color w:val="auto"/>
          <w:sz w:val="24"/>
          <w:szCs w:val="24"/>
          <w:highlight w:val="none"/>
          <w:u w:val="single"/>
          <w:lang w:eastAsia="zh-CN"/>
        </w:rPr>
        <w:t xml:space="preserve">、电</w:t>
      </w:r>
      <w:r>
        <w:rPr>
          <w:rFonts w:hint="eastAsia" w:ascii="仿宋" w:hAnsi="仿宋" w:eastAsia="仿宋" w:cs="仿宋"/>
          <w:color w:val="auto"/>
          <w:sz w:val="24"/>
          <w:szCs w:val="24"/>
          <w:highlight w:val="none"/>
          <w:u w:val="single"/>
        </w:rPr>
        <w:t xml:space="preserve">石外运相关费用以及</w:t>
      </w:r>
      <w:r>
        <w:rPr>
          <w:rFonts w:hint="eastAsia" w:ascii="仿宋" w:hAnsi="仿宋" w:eastAsia="仿宋" w:cs="仿宋"/>
          <w:color w:val="auto"/>
          <w:sz w:val="24"/>
          <w:szCs w:val="24"/>
          <w:highlight w:val="none"/>
          <w:u w:val="single"/>
          <w:lang w:eastAsia="zh-CN"/>
        </w:rPr>
        <w:t xml:space="preserve">其他建筑</w:t>
      </w:r>
      <w:r>
        <w:rPr>
          <w:rFonts w:hint="eastAsia" w:ascii="仿宋" w:hAnsi="仿宋" w:eastAsia="仿宋" w:cs="仿宋"/>
          <w:color w:val="auto"/>
          <w:sz w:val="24"/>
          <w:szCs w:val="24"/>
          <w:highlight w:val="none"/>
          <w:u w:val="single"/>
        </w:rPr>
        <w:t xml:space="preserve">垃圾外运均由施工单位在报价中考虑并报在投标报价中，甲方决算时不在签证支付此项费用。</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中标人中标后必须自行考虑与相关单位的协调配合以及办理相关部门的行政许可，由此产生的一切费用由投标单位在报价中体现充</w:t>
      </w:r>
      <w:r>
        <w:rPr>
          <w:rFonts w:hint="eastAsia" w:ascii="仿宋" w:hAnsi="仿宋" w:eastAsia="仿宋" w:cs="仿宋"/>
          <w:color w:val="auto"/>
          <w:sz w:val="24"/>
          <w:szCs w:val="24"/>
          <w:highlight w:val="none"/>
          <w:u w:val="single"/>
          <w:lang w:eastAsia="zh-CN"/>
        </w:rPr>
        <w:t xml:space="preserve">分包</w:t>
      </w:r>
      <w:r>
        <w:rPr>
          <w:rFonts w:hint="eastAsia" w:ascii="仿宋" w:hAnsi="仿宋" w:eastAsia="仿宋" w:cs="仿宋"/>
          <w:color w:val="auto"/>
          <w:sz w:val="24"/>
          <w:szCs w:val="24"/>
          <w:highlight w:val="none"/>
          <w:u w:val="single"/>
        </w:rPr>
        <w:t xml:space="preserve">含在投标报价中。</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清单中未做项目按实扣除。</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本项目清单未列</w:t>
      </w:r>
      <w:r>
        <w:rPr>
          <w:rFonts w:hint="eastAsia" w:ascii="仿宋" w:hAnsi="仿宋" w:eastAsia="仿宋" w:cs="仿宋"/>
          <w:color w:val="auto"/>
          <w:sz w:val="24"/>
          <w:szCs w:val="24"/>
          <w:highlight w:val="none"/>
          <w:u w:val="single"/>
          <w:lang w:eastAsia="zh-CN"/>
        </w:rPr>
        <w:t xml:space="preserve">出的</w:t>
      </w:r>
      <w:r>
        <w:rPr>
          <w:rFonts w:hint="eastAsia" w:ascii="仿宋" w:hAnsi="仿宋" w:eastAsia="仿宋" w:cs="仿宋"/>
          <w:color w:val="auto"/>
          <w:sz w:val="24"/>
          <w:szCs w:val="24"/>
          <w:highlight w:val="none"/>
          <w:u w:val="single"/>
        </w:rPr>
        <w:t xml:space="preserve">大型机械进</w:t>
      </w:r>
      <w:r>
        <w:rPr>
          <w:rFonts w:hint="eastAsia" w:ascii="仿宋" w:hAnsi="仿宋" w:eastAsia="仿宋" w:cs="仿宋"/>
          <w:color w:val="auto"/>
          <w:sz w:val="24"/>
          <w:szCs w:val="24"/>
          <w:highlight w:val="none"/>
          <w:u w:val="single"/>
          <w:lang w:eastAsia="zh-CN"/>
        </w:rPr>
        <w:t xml:space="preserve">出口</w:t>
      </w:r>
      <w:r>
        <w:rPr>
          <w:rFonts w:hint="eastAsia" w:ascii="仿宋" w:hAnsi="仿宋" w:eastAsia="仿宋" w:cs="仿宋"/>
          <w:color w:val="auto"/>
          <w:sz w:val="24"/>
          <w:szCs w:val="24"/>
          <w:highlight w:val="none"/>
          <w:u w:val="single"/>
        </w:rPr>
        <w:t xml:space="preserve">费用均不单独立项（立项的除外）由投标人自行考虑含在投标报价中，竣工结算不调整。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在措施项目清单中，业主根据实际情况罗列了部分名称，投标单位可根据本单位项目特点与采取的施工方案结合组织设计增减相关措施费用，业主不考虑在后期施</w:t>
      </w:r>
      <w:r>
        <w:rPr>
          <w:rFonts w:hint="eastAsia" w:ascii="仿宋" w:hAnsi="仿宋" w:eastAsia="仿宋" w:cs="仿宋"/>
          <w:color w:val="auto"/>
          <w:sz w:val="24"/>
          <w:szCs w:val="24"/>
          <w:highlight w:val="none"/>
          <w:u w:val="single"/>
          <w:lang w:eastAsia="zh-CN"/>
        </w:rPr>
        <w:t xml:space="preserve">工中</w:t>
      </w:r>
      <w:r>
        <w:rPr>
          <w:rFonts w:hint="eastAsia" w:ascii="仿宋" w:hAnsi="仿宋" w:eastAsia="仿宋" w:cs="仿宋"/>
          <w:color w:val="auto"/>
          <w:sz w:val="24"/>
          <w:szCs w:val="24"/>
          <w:highlight w:val="none"/>
          <w:u w:val="single"/>
        </w:rPr>
        <w:t xml:space="preserve">因招标文件未列出项目而发生的</w:t>
      </w:r>
      <w:r>
        <w:rPr>
          <w:rFonts w:hint="eastAsia" w:ascii="仿宋" w:hAnsi="仿宋" w:eastAsia="仿宋" w:cs="仿宋"/>
          <w:color w:val="auto"/>
          <w:sz w:val="24"/>
          <w:szCs w:val="24"/>
          <w:highlight w:val="none"/>
          <w:u w:val="single"/>
          <w:lang w:eastAsia="zh-CN"/>
        </w:rPr>
        <w:t xml:space="preserve">其他</w:t>
      </w:r>
      <w:r>
        <w:rPr>
          <w:rFonts w:hint="eastAsia" w:ascii="仿宋" w:hAnsi="仿宋" w:eastAsia="仿宋" w:cs="仿宋"/>
          <w:color w:val="auto"/>
          <w:sz w:val="24"/>
          <w:szCs w:val="24"/>
          <w:highlight w:val="none"/>
          <w:u w:val="single"/>
        </w:rPr>
        <w:t xml:space="preserve">相关签证。</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本清单中特征描述如与图纸中不一样，则由施工单位综合图纸说明一并纳入综合报价中，施工时须以图纸进行施工，决算不再调整。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投标报价有相同单价按相同单价，无相同单价但有类似单价可以参考类似单价，无相同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单价及类似单价的按现行定额计算后乘以下浮率确定（下浮率：中标价与招标控制价的比率）。</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中标单位中标后，应及时向相关单位了解及检测地下管线走向，本项风险由投标单位考虑</w:t>
      </w:r>
      <w:r>
        <w:rPr>
          <w:rFonts w:hint="eastAsia" w:ascii="仿宋" w:hAnsi="仿宋" w:eastAsia="仿宋" w:cs="仿宋"/>
          <w:color w:val="auto"/>
          <w:sz w:val="24"/>
          <w:szCs w:val="24"/>
          <w:highlight w:val="none"/>
          <w:u w:val="single"/>
          <w:lang w:eastAsia="zh-CN"/>
        </w:rPr>
        <w:t xml:space="preserve">计入</w:t>
      </w:r>
      <w:r>
        <w:rPr>
          <w:rFonts w:hint="eastAsia" w:ascii="仿宋" w:hAnsi="仿宋" w:eastAsia="仿宋" w:cs="仿宋"/>
          <w:color w:val="auto"/>
          <w:sz w:val="24"/>
          <w:szCs w:val="24"/>
          <w:highlight w:val="none"/>
          <w:u w:val="single"/>
        </w:rPr>
        <w:t xml:space="preserve">报价中，形成的相关费用甲方不负责。</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同投标报价人工、材料、机械以及各项措施项目费用</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bookmarkStart w:id="489" w:name="_Toc303539161"/>
      <w:r/>
      <w:bookmarkStart w:id="490" w:name="_Toc297216213"/>
      <w:r/>
      <w:bookmarkStart w:id="491" w:name="_Toc304295581"/>
      <w:r/>
      <w:bookmarkStart w:id="492" w:name="_Toc312678042"/>
      <w:r/>
      <w:bookmarkStart w:id="493" w:name="_Toc297123554"/>
      <w:r/>
      <w:bookmarkStart w:id="494" w:name="_Toc300935004"/>
      <w:r/>
      <w:bookmarkStart w:id="495" w:name="_Toc296347206"/>
      <w:r/>
      <w:bookmarkStart w:id="496" w:name="_Toc296346708"/>
      <w:r/>
      <w:bookmarkStart w:id="497" w:name="_Toc297048393"/>
      <w:r/>
      <w:bookmarkStart w:id="498" w:name="_Toc296503207"/>
      <w:r/>
      <w:bookmarkStart w:id="499" w:name="_Toc296944546"/>
      <w:r/>
      <w:bookmarkStart w:id="500" w:name="_Toc297120507"/>
      <w:r/>
      <w:bookmarkStart w:id="501" w:name="_Toc292559412"/>
      <w:r/>
      <w:bookmarkStart w:id="502" w:name="_Toc296891035"/>
      <w:r/>
      <w:bookmarkStart w:id="503" w:name="_Toc296891247"/>
      <w:r/>
      <w:bookmarkStart w:id="504" w:name="_Toc292559917"/>
      <w:r>
        <w:rPr>
          <w:rFonts w:hint="eastAsia" w:ascii="仿宋" w:hAnsi="仿宋" w:eastAsia="仿宋" w:cs="仿宋"/>
          <w:color w:val="auto"/>
          <w:sz w:val="24"/>
          <w:szCs w:val="24"/>
          <w:highlight w:val="none"/>
        </w:rPr>
        <w:t xml:space="preserve">12.2 预付款</w:t>
      </w:r>
      <w:bookmarkEnd w:id="489"/>
      <w:r/>
      <w:bookmarkEnd w:id="490"/>
      <w:r/>
      <w:bookmarkEnd w:id="491"/>
      <w:r/>
      <w:bookmarkEnd w:id="492"/>
      <w:r/>
      <w:bookmarkEnd w:id="493"/>
      <w:r/>
      <w:bookmarkEnd w:id="494"/>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12.2.1 预付款的支付</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 预付款担保</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lang w:eastAsia="zh-CN"/>
        </w:rPr>
        <w:t xml:space="preserve">：</w:t>
      </w:r>
      <w:bookmarkEnd w:id="495"/>
      <w:r/>
      <w:bookmarkEnd w:id="496"/>
      <w:r/>
      <w:bookmarkEnd w:id="497"/>
      <w:r/>
      <w:bookmarkEnd w:id="498"/>
      <w:r/>
      <w:bookmarkEnd w:id="499"/>
      <w:r/>
      <w:bookmarkEnd w:id="500"/>
      <w:r/>
      <w:bookmarkEnd w:id="501"/>
      <w:r/>
      <w:bookmarkEnd w:id="502"/>
      <w:r/>
      <w:bookmarkEnd w:id="503"/>
      <w:r/>
      <w:bookmarkEnd w:id="504"/>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计量</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 计量原则</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工程量计算规则：《建设工程工程量清单计价规范》（GB50500-2013）及对应的2013版计量规范、《江苏省建设工程费用定额》（2014年版）、《江苏省建筑与装饰工程计价定额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江苏省安装工程计价定额》(2014版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《江苏省市政工程计价定额》（2014版）等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 计量周期</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关于计量周期的约定：按工程形象进度分段计量。</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 单价合同的计量</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关于单价合同计量的约定：计量范围与要求</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①只能对工程量清单、变更工程、计日工等合同规定支付的项目计量，此范围以外的不得进行计量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②计量必须严格按合同规定的方法、范围、内容、单位进行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③工程质量未经检验或检验不合格的，不得计量；因承包人原因造成返工的工程量不予计量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④无论一般的和当地的习惯如何，除合同中另有规定，工程的计量应以净值为准。因此，属于承包人超出设计图纸范围的工程量不予计量 。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12.3.4 总价合同的计量</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12.3.5总价合同采用支付分解表计量支付的，是否适用第12.3.4 项〔总价合同的计量〕约定进行计量：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12.3.6 其他价格形式合同的计量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 工程进度款支付</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bookmarkStart w:id="505" w:name="_Toc292559416"/>
      <w:r/>
      <w:bookmarkStart w:id="506" w:name="_Toc292559921"/>
      <w:r/>
      <w:bookmarkStart w:id="507" w:name="_Toc296347210"/>
      <w:r/>
      <w:bookmarkStart w:id="508" w:name="_Toc296891251"/>
      <w:r/>
      <w:bookmarkStart w:id="509" w:name="_Toc300935006"/>
      <w:r/>
      <w:bookmarkStart w:id="510" w:name="_Toc303539163"/>
      <w:r/>
      <w:bookmarkStart w:id="511" w:name="_Toc297048397"/>
      <w:r/>
      <w:bookmarkStart w:id="512" w:name="_Toc296503211"/>
      <w:r/>
      <w:bookmarkStart w:id="513" w:name="_Toc296891039"/>
      <w:r/>
      <w:bookmarkStart w:id="514" w:name="_Toc297216215"/>
      <w:r/>
      <w:bookmarkStart w:id="515" w:name="_Toc296346712"/>
      <w:r/>
      <w:bookmarkStart w:id="516" w:name="_Toc296944550"/>
      <w:r/>
      <w:bookmarkStart w:id="517" w:name="_Toc297123556"/>
      <w:r/>
      <w:bookmarkStart w:id="518" w:name="_Toc297120511"/>
      <w:r>
        <w:rPr>
          <w:rFonts w:hint="eastAsia" w:ascii="仿宋" w:hAnsi="仿宋" w:eastAsia="仿宋" w:cs="仿宋"/>
          <w:color w:val="auto"/>
          <w:sz w:val="24"/>
          <w:szCs w:val="24"/>
          <w:highlight w:val="none"/>
        </w:rPr>
        <w:t xml:space="preserve">12.4.1 付款周期</w:t>
      </w:r>
      <w:r/>
    </w:p>
    <w:p>
      <w:pPr>
        <w:ind w:firstLine="480"/>
        <w:jc w:val="left"/>
        <w:keepLines w:val="0"/>
        <w:keepNext w:val="0"/>
        <w:widowControl/>
        <w:rPr>
          <w:rFonts w:hint="eastAsia" w:ascii="仿宋" w:hAnsi="仿宋" w:eastAsia="仿宋" w:cs="仿宋"/>
          <w:color w:val="auto"/>
          <w:sz w:val="24"/>
          <w:szCs w:val="24"/>
          <w:highlight w:val="none"/>
          <w:u w:val="single"/>
          <w:lang w:val="en-US" w:eastAsia="zh-CN"/>
        </w:rPr>
        <w:suppressLineNumbers w:val="0"/>
      </w:pPr>
      <w:r>
        <w:rPr>
          <w:rFonts w:hint="eastAsia" w:ascii="仿宋" w:hAnsi="仿宋" w:eastAsia="仿宋" w:cs="仿宋"/>
          <w:color w:val="auto"/>
          <w:sz w:val="24"/>
          <w:szCs w:val="24"/>
          <w:highlight w:val="none"/>
          <w:u w:val="single"/>
          <w:lang w:val="en-US" w:eastAsia="zh-CN"/>
        </w:rPr>
        <w:t xml:space="preserve">合同签订后付合同价的40%（待工程机械、人员进场后且提供相同数额的无条件银行保函后支付），工程竣工验收合格并经审计后付至审定价的100%。</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12.4.2 进度付款申请单的编制</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关于进度付款申请单编制的约定：</w:t>
      </w:r>
      <w:r>
        <w:rPr>
          <w:rFonts w:hint="eastAsia" w:ascii="仿宋" w:hAnsi="仿宋" w:eastAsia="仿宋" w:cs="仿宋"/>
          <w:color w:val="auto"/>
          <w:sz w:val="24"/>
          <w:szCs w:val="24"/>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Pr>
          <w:rFonts w:hint="eastAsia" w:ascii="仿宋" w:hAnsi="仿宋" w:eastAsia="仿宋" w:cs="仿宋"/>
          <w:color w:val="auto"/>
          <w:sz w:val="24"/>
          <w:szCs w:val="24"/>
          <w:highlight w:val="none"/>
        </w:rPr>
        <w:t xml:space="preserve">2.4.3 进度付款申请单的提交</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r>
        <w:rPr>
          <w:rFonts w:hint="eastAsia" w:ascii="仿宋" w:hAnsi="仿宋" w:eastAsia="仿宋" w:cs="仿宋"/>
          <w:color w:val="auto"/>
          <w:sz w:val="24"/>
          <w:szCs w:val="24"/>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w:t>
      </w:r>
      <w:r>
        <w:rPr>
          <w:rFonts w:hint="eastAsia" w:ascii="仿宋" w:hAnsi="仿宋" w:eastAsia="仿宋" w:cs="仿宋"/>
          <w:color w:val="auto"/>
          <w:sz w:val="24"/>
          <w:szCs w:val="24"/>
          <w:highlight w:val="none"/>
          <w:u w:val="single"/>
        </w:rPr>
        <w:t xml:space="preserve">不采用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 进度款审核和支付</w:t>
      </w:r>
      <w:bookmarkEnd w:id="348"/>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bookmarkStart w:id="519" w:name="_Toc280868706"/>
      <w:r/>
      <w:bookmarkStart w:id="520" w:name="_Toc280868707"/>
      <w:r/>
      <w:bookmarkStart w:id="521" w:name="_Toc280868708"/>
      <w:r/>
      <w:bookmarkStart w:id="522" w:name="_Toc280868709"/>
      <w:r/>
      <w:bookmarkStart w:id="523" w:name="_Toc267251470"/>
      <w:r/>
      <w:bookmarkStart w:id="524" w:name="_Toc267251474"/>
      <w:r/>
      <w:bookmarkStart w:id="525" w:name="_Toc267251475"/>
      <w:r/>
      <w:bookmarkStart w:id="526" w:name="_Toc267251472"/>
      <w:r/>
      <w:bookmarkStart w:id="527" w:name="_Toc267251473"/>
      <w:r/>
      <w:bookmarkStart w:id="528" w:name="_Toc267251476"/>
      <w:r/>
      <w:bookmarkStart w:id="529" w:name="_Toc267251471"/>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监理人应在收到承包人进度付款申请单以及相关资料后7天内完成审查并报送发包人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发包人完成审批并签发进度款支付证书的期限：</w:t>
      </w:r>
      <w:r>
        <w:rPr>
          <w:rFonts w:hint="eastAsia" w:ascii="仿宋" w:hAnsi="仿宋" w:eastAsia="仿宋" w:cs="仿宋"/>
          <w:color w:val="auto"/>
          <w:sz w:val="24"/>
          <w:szCs w:val="24"/>
          <w:highlight w:val="none"/>
          <w:u w:val="single"/>
        </w:rPr>
        <w:t xml:space="preserve">14天 </w:t>
      </w:r>
      <w:r/>
    </w:p>
    <w:p>
      <w:pPr>
        <w:ind w:left="0" w:firstLine="480"/>
        <w:pageBreakBefore w:val="0"/>
        <w:spacing w:line="380" w:lineRule="exact"/>
        <w:widowControl w:val="off"/>
        <w:rPr>
          <w:rFonts w:hint="eastAsia" w:ascii="仿宋" w:hAnsi="仿宋" w:eastAsia="仿宋" w:cs="仿宋"/>
          <w:strike/>
          <w:color w:val="auto"/>
          <w:sz w:val="24"/>
          <w:szCs w:val="24"/>
          <w:highlight w:val="none"/>
        </w:rPr>
      </w:pPr>
      <w:r>
        <w:rPr>
          <w:rFonts w:hint="eastAsia" w:ascii="仿宋" w:hAnsi="仿宋" w:eastAsia="仿宋" w:cs="仿宋"/>
          <w:color w:val="auto"/>
          <w:sz w:val="24"/>
          <w:szCs w:val="24"/>
          <w:highlight w:val="none"/>
        </w:rPr>
        <w:t xml:space="preserve">（2）发包人支付进度款的期限：</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发包人逾期支付进度款的违约金的计算方式：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60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支付分解表的编制</w:t>
      </w:r>
      <w:r/>
    </w:p>
    <w:p>
      <w:pPr>
        <w:ind w:left="4320" w:hanging="432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总价合同支付分解表的编制与审批：</w:t>
      </w:r>
      <w:r>
        <w:rPr>
          <w:rFonts w:hint="eastAsia" w:ascii="仿宋" w:hAnsi="仿宋" w:eastAsia="仿宋" w:cs="仿宋"/>
          <w:color w:val="auto"/>
          <w:sz w:val="24"/>
          <w:szCs w:val="24"/>
          <w:highlight w:val="none"/>
          <w:u w:val="single"/>
        </w:rPr>
        <w:t xml:space="preserve"> 不采用 </w:t>
      </w:r>
      <w:r>
        <w:rPr>
          <w:rFonts w:hint="eastAsia" w:ascii="仿宋" w:hAnsi="仿宋" w:eastAsia="仿宋" w:cs="仿宋"/>
          <w:color w:val="auto"/>
          <w:sz w:val="24"/>
          <w:szCs w:val="24"/>
          <w:highlight w:val="none"/>
        </w:rPr>
        <w:t xml:space="preserve">。</w:t>
      </w:r>
      <w:r/>
    </w:p>
    <w:p>
      <w:pPr>
        <w:ind w:left="4320" w:hanging="4320"/>
        <w:jc w:val="left"/>
        <w:pageBreakBefore w:val="0"/>
        <w:spacing w:line="380" w:lineRule="exact"/>
        <w:widowControl w:val="off"/>
        <w:rPr>
          <w:rFonts w:hint="eastAsia" w:ascii="仿宋" w:hAnsi="仿宋" w:eastAsia="仿宋" w:cs="仿宋"/>
          <w:strike/>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单价合同的总价项目支付分解表的编制与审批：</w:t>
      </w:r>
      <w:r>
        <w:rPr>
          <w:rFonts w:hint="eastAsia" w:ascii="仿宋" w:hAnsi="仿宋" w:eastAsia="仿宋" w:cs="仿宋"/>
          <w:color w:val="auto"/>
          <w:sz w:val="24"/>
          <w:szCs w:val="24"/>
          <w:highlight w:val="none"/>
          <w:u w:val="single"/>
        </w:rPr>
        <w:t xml:space="preserve">本条通用合同条款不适用该项目 </w:t>
      </w:r>
      <w:r>
        <w:rPr>
          <w:rFonts w:hint="eastAsia" w:ascii="仿宋" w:hAnsi="仿宋" w:eastAsia="仿宋" w:cs="仿宋"/>
          <w:color w:val="auto"/>
          <w:sz w:val="24"/>
          <w:szCs w:val="24"/>
          <w:highlight w:val="none"/>
        </w:rPr>
        <w:t xml:space="preserve">。</w:t>
      </w:r>
      <w:r/>
    </w:p>
    <w:p>
      <w:pPr>
        <w:pStyle w:val="694"/>
        <w:ind w:left="0"/>
        <w:pageBreakBefore w:val="0"/>
        <w:spacing w:line="380" w:lineRule="exact"/>
        <w:widowControl w:val="off"/>
        <w:rPr>
          <w:rFonts w:hint="eastAsia" w:ascii="仿宋" w:hAnsi="仿宋" w:eastAsia="仿宋" w:cs="仿宋"/>
          <w:b w:val="0"/>
          <w:color w:val="auto"/>
          <w:sz w:val="24"/>
          <w:szCs w:val="24"/>
          <w:highlight w:val="none"/>
        </w:rPr>
      </w:pPr>
      <w:r/>
      <w:bookmarkStart w:id="530" w:name="_Toc303539172"/>
      <w:r/>
      <w:bookmarkStart w:id="531" w:name="_Toc296503219"/>
      <w:r/>
      <w:bookmarkStart w:id="532" w:name="_Toc297048405"/>
      <w:r/>
      <w:bookmarkStart w:id="533" w:name="_Toc296347218"/>
      <w:r/>
      <w:bookmarkStart w:id="534" w:name="_Toc297123564"/>
      <w:r/>
      <w:bookmarkStart w:id="535" w:name="_Toc312678053"/>
      <w:r/>
      <w:bookmarkStart w:id="536" w:name="_Toc296944558"/>
      <w:r/>
      <w:bookmarkStart w:id="537" w:name="_Toc297216223"/>
      <w:r/>
      <w:bookmarkStart w:id="538" w:name="_Toc296891047"/>
      <w:r/>
      <w:bookmarkStart w:id="539" w:name="_Toc292559424"/>
      <w:r/>
      <w:bookmarkStart w:id="540" w:name="_Toc304295593"/>
      <w:r/>
      <w:bookmarkStart w:id="541" w:name="_Toc300935015"/>
      <w:r/>
      <w:bookmarkStart w:id="542" w:name="_Toc297120519"/>
      <w:r/>
      <w:bookmarkStart w:id="543" w:name="_Toc351203645"/>
      <w:r/>
      <w:bookmarkStart w:id="544" w:name="_Toc292559929"/>
      <w:r/>
      <w:bookmarkStart w:id="545" w:name="_Toc296891259"/>
      <w:r/>
      <w:bookmarkStart w:id="546" w:name="_Toc296346720"/>
      <w:r>
        <w:rPr>
          <w:rFonts w:hint="eastAsia" w:ascii="仿宋" w:hAnsi="仿宋" w:eastAsia="仿宋" w:cs="仿宋"/>
          <w:b w:val="0"/>
          <w:color w:val="auto"/>
          <w:sz w:val="24"/>
          <w:szCs w:val="24"/>
          <w:highlight w:val="none"/>
        </w:rPr>
        <w:t xml:space="preserve">13. 验收和工程试车</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分部分项工程验收</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left="0" w:firstLine="480"/>
        <w:jc w:val="left"/>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ind w:left="0" w:firstLine="480"/>
        <w:pageBreakBefore w:val="0"/>
        <w:spacing w:line="380" w:lineRule="exact"/>
        <w:widowControl w:val="off"/>
        <w:rPr>
          <w:rFonts w:hint="eastAsia" w:ascii="仿宋" w:hAnsi="仿宋" w:eastAsia="仿宋" w:cs="仿宋"/>
          <w:color w:val="auto"/>
          <w:sz w:val="24"/>
          <w:szCs w:val="24"/>
          <w:highlight w:val="none"/>
        </w:rPr>
      </w:pPr>
      <w:r/>
      <w:bookmarkStart w:id="547" w:name="_Toc296944562"/>
      <w:r/>
      <w:bookmarkStart w:id="548" w:name="_Toc297216224"/>
      <w:r/>
      <w:bookmarkStart w:id="549" w:name="_Toc296347222"/>
      <w:r/>
      <w:bookmarkStart w:id="550" w:name="_Toc292559428"/>
      <w:r/>
      <w:bookmarkStart w:id="551" w:name="_Toc304295596"/>
      <w:r/>
      <w:bookmarkStart w:id="552" w:name="_Toc297120523"/>
      <w:r/>
      <w:bookmarkStart w:id="553" w:name="_Toc296503223"/>
      <w:r/>
      <w:bookmarkStart w:id="554" w:name="_Toc303539173"/>
      <w:r/>
      <w:bookmarkStart w:id="555" w:name="_Toc297123565"/>
      <w:r/>
      <w:bookmarkStart w:id="556" w:name="_Toc296891263"/>
      <w:r/>
      <w:bookmarkStart w:id="557" w:name="_Toc300935016"/>
      <w:r/>
      <w:bookmarkStart w:id="558" w:name="_Toc296346724"/>
      <w:r/>
      <w:bookmarkStart w:id="559" w:name="_Toc312678056"/>
      <w:r/>
      <w:bookmarkStart w:id="560" w:name="_Toc292559933"/>
      <w:r/>
      <w:bookmarkStart w:id="561" w:name="_Toc296891051"/>
      <w:r/>
      <w:bookmarkStart w:id="562" w:name="_Toc297048409"/>
      <w:r>
        <w:rPr>
          <w:rFonts w:hint="eastAsia" w:ascii="仿宋" w:hAnsi="仿宋" w:eastAsia="仿宋" w:cs="仿宋"/>
          <w:color w:val="auto"/>
          <w:sz w:val="24"/>
          <w:szCs w:val="24"/>
          <w:highlight w:val="none"/>
        </w:rPr>
        <w:t xml:space="preserve">13.2 竣工验收</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bookmarkStart w:id="563" w:name="_Toc280868704"/>
      <w:r>
        <w:rPr>
          <w:rFonts w:hint="eastAsia" w:ascii="仿宋" w:hAnsi="仿宋" w:eastAsia="仿宋" w:cs="仿宋"/>
          <w:color w:val="auto"/>
          <w:sz w:val="24"/>
          <w:szCs w:val="24"/>
          <w:highlight w:val="none"/>
        </w:rPr>
        <w:t xml:space="preserve">13.2.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竣工验收程序</w:t>
      </w:r>
      <w:bookmarkEnd w:id="563"/>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按管理部门有关要求，</w:t>
      </w:r>
      <w:r>
        <w:rPr>
          <w:rFonts w:hint="eastAsia" w:ascii="仿宋" w:hAnsi="仿宋" w:eastAsia="仿宋" w:cs="仿宋"/>
          <w:color w:val="auto"/>
          <w:sz w:val="24"/>
          <w:szCs w:val="24"/>
          <w:highlight w:val="none"/>
          <w:u w:val="single"/>
          <w:lang w:eastAsia="zh-CN"/>
        </w:rPr>
        <w:t xml:space="preserve">其他</w:t>
      </w:r>
      <w:r>
        <w:rPr>
          <w:rFonts w:hint="eastAsia" w:ascii="仿宋" w:hAnsi="仿宋" w:eastAsia="仿宋" w:cs="仿宋"/>
          <w:color w:val="auto"/>
          <w:sz w:val="24"/>
          <w:szCs w:val="24"/>
          <w:highlight w:val="none"/>
          <w:u w:val="single"/>
        </w:rPr>
        <w:t xml:space="preserve"> 按通用合同条款执行</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w:t>
      </w:r>
      <w:r>
        <w:rPr>
          <w:rFonts w:hint="eastAsia" w:ascii="仿宋" w:hAnsi="仿宋" w:eastAsia="仿宋" w:cs="仿宋"/>
          <w:color w:val="auto"/>
          <w:sz w:val="24"/>
          <w:szCs w:val="24"/>
          <w:highlight w:val="none"/>
          <w:lang w:eastAsia="zh-CN"/>
        </w:rPr>
        <w:t xml:space="preserve">工程验收</w:t>
      </w:r>
      <w:r>
        <w:rPr>
          <w:rFonts w:hint="eastAsia" w:ascii="仿宋" w:hAnsi="仿宋" w:eastAsia="仿宋" w:cs="仿宋"/>
          <w:color w:val="auto"/>
          <w:sz w:val="24"/>
          <w:szCs w:val="24"/>
          <w:highlight w:val="none"/>
        </w:rPr>
        <w:t xml:space="preserve">证书的违约金的计算方法：</w:t>
      </w:r>
      <w:r>
        <w:rPr>
          <w:rFonts w:hint="eastAsia" w:ascii="仿宋" w:hAnsi="仿宋" w:eastAsia="仿宋" w:cs="仿宋"/>
          <w:color w:val="auto"/>
          <w:sz w:val="24"/>
          <w:szCs w:val="24"/>
          <w:highlight w:val="none"/>
          <w:u w:val="single"/>
        </w:rPr>
        <w:t xml:space="preserve">本条通用合同条款不适用该项目</w:t>
      </w:r>
      <w:r>
        <w:rPr>
          <w:rFonts w:hint="eastAsia" w:ascii="仿宋" w:hAnsi="仿宋" w:eastAsia="仿宋" w:cs="仿宋"/>
          <w:color w:val="auto"/>
          <w:sz w:val="24"/>
          <w:szCs w:val="24"/>
          <w:highlight w:val="none"/>
        </w:rPr>
        <w:t xml:space="preserve">。</w:t>
      </w:r>
      <w:bookmarkEnd w:id="519"/>
      <w:r/>
      <w:bookmarkEnd w:id="520"/>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移交、接收全部与部分工程</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按通用合同条款执行 </w:t>
      </w:r>
      <w:r>
        <w:rPr>
          <w:rFonts w:hint="eastAsia" w:ascii="仿宋" w:hAnsi="仿宋" w:eastAsia="仿宋" w:cs="仿宋"/>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发包人未按本合同约定接收全部或部分工程的，违约金的计算方法为：</w:t>
      </w:r>
      <w:r>
        <w:rPr>
          <w:rFonts w:hint="eastAsia" w:ascii="仿宋" w:hAnsi="仿宋" w:eastAsia="仿宋" w:cs="仿宋"/>
          <w:color w:val="auto"/>
          <w:sz w:val="24"/>
          <w:szCs w:val="24"/>
          <w:highlight w:val="none"/>
          <w:u w:val="single"/>
        </w:rPr>
        <w:t xml:space="preserve">本条通用合同条款不适用该项目   </w:t>
      </w:r>
      <w:r>
        <w:rPr>
          <w:rFonts w:hint="eastAsia" w:ascii="仿宋" w:hAnsi="仿宋" w:eastAsia="仿宋" w:cs="仿宋"/>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每逾期一天，承包人应向发包人支付合同价的千分之一的违约金，并赔偿由此给发包人造成的各种损失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工程试车</w:t>
      </w:r>
      <w:bookmarkEnd w:id="521"/>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 试车程序</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（1）单机无负荷试车费用由</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承担</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承担。</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投料试车</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竣工退场</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竣工退场</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s="仿宋"/>
          <w:color w:val="auto"/>
          <w:sz w:val="24"/>
          <w:szCs w:val="24"/>
          <w:highlight w:val="none"/>
        </w:rPr>
        <w:t xml:space="preserve">。</w:t>
      </w:r>
      <w:bookmarkEnd w:id="522"/>
      <w:r/>
      <w:bookmarkEnd w:id="523"/>
      <w:r/>
      <w:bookmarkEnd w:id="524"/>
      <w:r/>
      <w:bookmarkEnd w:id="525"/>
      <w:r/>
      <w:bookmarkEnd w:id="526"/>
      <w:r/>
      <w:bookmarkEnd w:id="527"/>
      <w:r/>
      <w:bookmarkEnd w:id="528"/>
      <w:r/>
      <w:bookmarkEnd w:id="529"/>
      <w:r/>
      <w:r/>
    </w:p>
    <w:p>
      <w:pPr>
        <w:pStyle w:val="694"/>
        <w:ind w:left="0"/>
        <w:pageBreakBefore w:val="0"/>
        <w:spacing w:line="380" w:lineRule="exact"/>
        <w:widowControl w:val="off"/>
        <w:rPr>
          <w:rFonts w:hint="eastAsia" w:ascii="仿宋" w:hAnsi="仿宋" w:eastAsia="仿宋" w:cs="仿宋"/>
          <w:b w:val="0"/>
          <w:color w:val="auto"/>
          <w:sz w:val="24"/>
          <w:szCs w:val="24"/>
          <w:highlight w:val="none"/>
        </w:rPr>
      </w:pPr>
      <w:r/>
      <w:bookmarkStart w:id="564" w:name="_Toc351203646"/>
      <w:r>
        <w:rPr>
          <w:rFonts w:hint="eastAsia" w:ascii="仿宋" w:hAnsi="仿宋" w:eastAsia="仿宋" w:cs="仿宋"/>
          <w:b w:val="0"/>
          <w:color w:val="auto"/>
          <w:sz w:val="24"/>
          <w:szCs w:val="24"/>
          <w:highlight w:val="none"/>
        </w:rPr>
        <w:t xml:space="preserve">14. 竣工结算</w:t>
      </w:r>
      <w:bookmarkEnd w:id="564"/>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竣工结算申请</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 满足专用合同条款第12.4.1项〔付款周期〕中相应时间节点要求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color w:val="auto"/>
          <w:sz w:val="24"/>
          <w:szCs w:val="24"/>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w:t>
      </w:r>
      <w:r>
        <w:rPr>
          <w:rFonts w:hint="eastAsia" w:ascii="仿宋" w:hAnsi="仿宋" w:eastAsia="仿宋" w:cs="仿宋"/>
          <w:color w:val="auto"/>
          <w:sz w:val="24"/>
          <w:szCs w:val="24"/>
          <w:highlight w:val="none"/>
          <w:u w:val="single"/>
          <w:lang w:val="en-US" w:eastAsia="zh-CN"/>
        </w:rPr>
        <w:t xml:space="preserve">馆</w:t>
      </w:r>
      <w:r>
        <w:rPr>
          <w:rFonts w:hint="eastAsia" w:ascii="仿宋" w:hAnsi="仿宋" w:eastAsia="仿宋" w:cs="仿宋"/>
          <w:color w:val="auto"/>
          <w:sz w:val="24"/>
          <w:szCs w:val="24"/>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565" w:name="_Toc5448"/>
      <w:r/>
      <w:bookmarkStart w:id="566" w:name="_Toc20146"/>
      <w:r>
        <w:rPr>
          <w:rFonts w:hint="eastAsia" w:ascii="仿宋" w:hAnsi="仿宋" w:eastAsia="仿宋" w:cs="仿宋"/>
          <w:color w:val="auto"/>
          <w:sz w:val="24"/>
          <w:szCs w:val="24"/>
          <w:highlight w:val="none"/>
        </w:rPr>
        <w:t xml:space="preserve">14.2 竣工结算审核</w:t>
      </w:r>
      <w:bookmarkEnd w:id="565"/>
      <w:r/>
      <w:bookmarkEnd w:id="566"/>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本条通用条款不适用该项目，按专用合同条款第12.4.1项〔付款周期〕的约定执行  </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按照第20条〔争议解决〕约定处理 </w:t>
      </w:r>
      <w:r>
        <w:rPr>
          <w:rFonts w:hint="eastAsia" w:ascii="仿宋" w:hAnsi="仿宋" w:eastAsia="仿宋" w:cs="仿宋"/>
          <w:color w:val="auto"/>
          <w:sz w:val="24"/>
          <w:szCs w:val="24"/>
          <w:highlight w:val="none"/>
        </w:rPr>
        <w:t xml:space="preserve">。</w:t>
      </w:r>
      <w:r/>
    </w:p>
    <w:p>
      <w:pPr>
        <w:numPr>
          <w:ilvl w:val="0"/>
          <w:numId w:val="6"/>
        </w:num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最终结清</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 最终结清申请单</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 不少于4份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 xml:space="preserve">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 最终结清证书和支付</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本条通用条款不适用该项目，按专用合同条款第12.4.1项〔付款周期〕的约定执行 </w:t>
      </w:r>
      <w:r>
        <w:rPr>
          <w:rFonts w:hint="eastAsia" w:ascii="仿宋" w:hAnsi="仿宋" w:eastAsia="仿宋" w:cs="仿宋"/>
          <w:color w:val="auto"/>
          <w:sz w:val="24"/>
          <w:szCs w:val="24"/>
          <w:highlight w:val="none"/>
        </w:rPr>
        <w:t xml:space="preserve">。</w:t>
      </w:r>
      <w:r/>
    </w:p>
    <w:p>
      <w:pPr>
        <w:pStyle w:val="694"/>
        <w:ind w:left="0"/>
        <w:pageBreakBefore w:val="0"/>
        <w:spacing w:line="380" w:lineRule="exact"/>
        <w:widowControl w:val="off"/>
        <w:rPr>
          <w:rFonts w:hint="eastAsia" w:ascii="仿宋" w:hAnsi="仿宋" w:eastAsia="仿宋" w:cs="仿宋"/>
          <w:b w:val="0"/>
          <w:color w:val="auto"/>
          <w:sz w:val="24"/>
          <w:szCs w:val="24"/>
          <w:highlight w:val="none"/>
        </w:rPr>
      </w:pPr>
      <w:r/>
      <w:bookmarkStart w:id="567" w:name="_Toc351203647"/>
      <w:r/>
      <w:bookmarkStart w:id="568" w:name="_Toc267251483"/>
      <w:r/>
      <w:bookmarkStart w:id="569" w:name="_Toc267251482"/>
      <w:r/>
      <w:bookmarkStart w:id="570" w:name="_Toc267251484"/>
      <w:r/>
      <w:bookmarkStart w:id="571" w:name="_Toc267251485"/>
      <w:r/>
      <w:bookmarkStart w:id="572" w:name="_Toc267251489"/>
      <w:r/>
      <w:bookmarkStart w:id="573" w:name="_Toc267251486"/>
      <w:r/>
      <w:bookmarkStart w:id="574" w:name="_Toc267251488"/>
      <w:r/>
      <w:bookmarkStart w:id="575" w:name="_Toc267251490"/>
      <w:r/>
      <w:bookmarkStart w:id="576" w:name="_Toc267251503"/>
      <w:r/>
      <w:bookmarkStart w:id="577" w:name="_Toc267251502"/>
      <w:r/>
      <w:bookmarkStart w:id="578" w:name="_Toc267251497"/>
      <w:r/>
      <w:bookmarkStart w:id="579" w:name="_Toc267251492"/>
      <w:r/>
      <w:bookmarkStart w:id="580" w:name="_Toc267251496"/>
      <w:r/>
      <w:bookmarkStart w:id="581" w:name="_Toc267251493"/>
      <w:r/>
      <w:bookmarkStart w:id="582" w:name="_Toc267251491"/>
      <w:r/>
      <w:bookmarkStart w:id="583" w:name="_Toc267251495"/>
      <w:r/>
      <w:bookmarkStart w:id="584" w:name="_Toc267251494"/>
      <w:r/>
      <w:bookmarkStart w:id="585" w:name="_Toc267251501"/>
      <w:r/>
      <w:bookmarkStart w:id="586" w:name="_Toc267251498"/>
      <w:r/>
      <w:bookmarkStart w:id="587" w:name="_Toc267251499"/>
      <w:r/>
      <w:bookmarkStart w:id="588" w:name="_Toc267251506"/>
      <w:r/>
      <w:bookmarkStart w:id="589" w:name="_Toc267251504"/>
      <w:r/>
      <w:bookmarkStart w:id="590" w:name="_Toc267251507"/>
      <w:r/>
      <w:bookmarkStart w:id="591" w:name="_Toc267251508"/>
      <w:r/>
      <w:bookmarkStart w:id="592" w:name="_Toc267251515"/>
      <w:r/>
      <w:bookmarkStart w:id="593" w:name="_Toc267251514"/>
      <w:r/>
      <w:bookmarkStart w:id="594" w:name="_Toc267251510"/>
      <w:r/>
      <w:bookmarkStart w:id="595" w:name="_Toc267251513"/>
      <w:r/>
      <w:bookmarkStart w:id="596" w:name="_Toc267251511"/>
      <w:r/>
      <w:bookmarkStart w:id="597" w:name="_Toc267251509"/>
      <w:r>
        <w:rPr>
          <w:rFonts w:hint="eastAsia" w:ascii="仿宋" w:hAnsi="仿宋" w:eastAsia="仿宋" w:cs="仿宋"/>
          <w:b w:val="0"/>
          <w:color w:val="auto"/>
          <w:sz w:val="24"/>
          <w:szCs w:val="24"/>
          <w:highlight w:val="none"/>
        </w:rPr>
        <w:t xml:space="preserve">15. 缺陷责任期与保修</w:t>
      </w:r>
      <w:bookmarkEnd w:id="567"/>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缺陷责任期</w:t>
      </w:r>
      <w:bookmarkEnd w:id="568"/>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2年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598" w:name="_Toc3993"/>
      <w:r/>
      <w:bookmarkStart w:id="599" w:name="_Toc19685"/>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质量保证金</w:t>
      </w:r>
      <w:bookmarkEnd w:id="598"/>
      <w:r/>
      <w:bookmarkEnd w:id="599"/>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600" w:name="_Toc5826"/>
      <w:r/>
      <w:bookmarkStart w:id="601" w:name="_Toc18867"/>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 承包人提供质量保证金的方式</w:t>
      </w:r>
      <w:bookmarkEnd w:id="600"/>
      <w:r/>
      <w:bookmarkEnd w:id="601"/>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质量保证金采用以下第</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（1）质量保证金保函，保证金额为：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%的工程款；</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602" w:name="_Toc16068"/>
      <w:r/>
      <w:bookmarkStart w:id="603" w:name="_Toc23845"/>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 质量保证金的扣留</w:t>
      </w:r>
      <w:bookmarkEnd w:id="602"/>
      <w:r/>
      <w:bookmarkEnd w:id="603"/>
      <w:r>
        <w:rPr>
          <w:rFonts w:hint="eastAsia" w:ascii="仿宋" w:hAnsi="仿宋" w:eastAsia="仿宋" w:cs="仿宋"/>
          <w:color w:val="auto"/>
          <w:sz w:val="24"/>
          <w:szCs w:val="24"/>
          <w:highlight w:val="none"/>
        </w:rPr>
        <w:t xml:space="preserve">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质量保证金的扣留采取以下第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（1）在支付工程进度款时逐次扣留，在此情形下，质量保证金的计算基数不包括预付款的支付、扣回以及价格调整的金额；</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604" w:name="_Toc29954"/>
      <w:r/>
      <w:bookmarkStart w:id="605" w:name="_Toc28386"/>
      <w:r>
        <w:rPr>
          <w:rFonts w:hint="eastAsia" w:ascii="仿宋" w:hAnsi="仿宋" w:eastAsia="仿宋" w:cs="仿宋"/>
          <w:color w:val="auto"/>
          <w:sz w:val="24"/>
          <w:szCs w:val="24"/>
          <w:highlight w:val="none"/>
        </w:rPr>
        <w:t xml:space="preserve">（2）工程竣工结算时一次性扣留质量保证金；</w:t>
      </w:r>
      <w:bookmarkEnd w:id="604"/>
      <w:r/>
      <w:bookmarkEnd w:id="605"/>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（3）其他扣留方式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关于质量保证金的补充约定：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569"/>
      <w:r/>
      <w:bookmarkEnd w:id="570"/>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1"/>
      </w:pPr>
      <w:r/>
      <w:bookmarkStart w:id="606" w:name="_Toc12417"/>
      <w:r/>
      <w:bookmarkStart w:id="607" w:name="_Toc31564"/>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保修</w:t>
      </w:r>
      <w:bookmarkEnd w:id="571"/>
      <w:r/>
      <w:bookmarkEnd w:id="606"/>
      <w:r/>
      <w:bookmarkEnd w:id="607"/>
      <w:r/>
      <w:r/>
    </w:p>
    <w:p>
      <w:pPr>
        <w:ind w:left="0" w:firstLine="468"/>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 保修责任</w:t>
      </w:r>
      <w:r/>
    </w:p>
    <w:p>
      <w:pPr>
        <w:ind w:firstLine="480"/>
        <w:jc w:val="both"/>
        <w:pageBreakBefore w:val="0"/>
        <w:spacing w:line="38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lang w:val="en-US" w:eastAsia="zh-CN"/>
        </w:rPr>
        <w:t xml:space="preserve">满足规范要求（见附件1建设工程质量保修书） </w:t>
      </w:r>
      <w:r>
        <w:rPr>
          <w:rFonts w:hint="eastAsia" w:ascii="仿宋" w:hAnsi="仿宋" w:eastAsia="仿宋" w:cs="仿宋"/>
          <w:color w:val="auto"/>
          <w:sz w:val="24"/>
          <w:szCs w:val="24"/>
          <w:highlight w:val="none"/>
          <w:u w:val="none"/>
          <w:lang w:val="en-US" w:eastAsia="zh-CN"/>
        </w:rPr>
        <w:t xml:space="preserve">。</w:t>
      </w:r>
      <w:r/>
    </w:p>
    <w:p>
      <w:pPr>
        <w:ind w:left="0" w:firstLine="468"/>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修复通知</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承包人应在接到修理通知之日后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内派人进行修理。承包人不在约定期限内，派人修理，发包人可委托其他人员修理，产生的费用从质量保修金中扣除</w:t>
      </w:r>
      <w:r>
        <w:rPr>
          <w:rFonts w:hint="eastAsia" w:ascii="仿宋" w:hAnsi="仿宋" w:eastAsia="仿宋" w:cs="仿宋"/>
          <w:color w:val="auto"/>
          <w:sz w:val="24"/>
          <w:szCs w:val="24"/>
          <w:highlight w:val="none"/>
        </w:rPr>
        <w:t xml:space="preserve">。</w:t>
      </w:r>
      <w:r/>
    </w:p>
    <w:p>
      <w:pPr>
        <w:ind w:left="0" w:firstLine="468"/>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发生紧急抢修事故的，承包人在接到事故通知后，应立即到达事故现场抢修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bookmarkEnd w:id="572"/>
      <w:r/>
      <w:bookmarkEnd w:id="573"/>
      <w:r/>
      <w:bookmarkEnd w:id="574"/>
      <w:r/>
      <w:bookmarkEnd w:id="575"/>
      <w:r/>
      <w:r/>
    </w:p>
    <w:p>
      <w:pPr>
        <w:pStyle w:val="694"/>
        <w:ind w:left="0"/>
        <w:pageBreakBefore w:val="0"/>
        <w:spacing w:line="380" w:lineRule="exact"/>
        <w:widowControl w:val="off"/>
        <w:rPr>
          <w:rFonts w:hint="eastAsia" w:ascii="仿宋" w:hAnsi="仿宋" w:eastAsia="仿宋" w:cs="仿宋"/>
          <w:b w:val="0"/>
          <w:color w:val="auto"/>
          <w:sz w:val="24"/>
          <w:szCs w:val="24"/>
          <w:highlight w:val="none"/>
        </w:rPr>
        <w:outlineLvl w:val="1"/>
      </w:pPr>
      <w:r/>
      <w:bookmarkStart w:id="608" w:name="_Toc45"/>
      <w:r/>
      <w:bookmarkStart w:id="609" w:name="_Toc351203648"/>
      <w:r/>
      <w:bookmarkStart w:id="610" w:name="_Toc18348"/>
      <w:r/>
      <w:bookmarkStart w:id="611" w:name="_Toc280868717"/>
      <w:r/>
      <w:bookmarkStart w:id="612" w:name="_Toc280868718"/>
      <w:r>
        <w:rPr>
          <w:rFonts w:hint="eastAsia" w:ascii="仿宋" w:hAnsi="仿宋" w:eastAsia="仿宋" w:cs="仿宋"/>
          <w:b w:val="0"/>
          <w:color w:val="auto"/>
          <w:sz w:val="24"/>
          <w:szCs w:val="24"/>
          <w:highlight w:val="none"/>
        </w:rPr>
        <w:t xml:space="preserve">16. 违约</w:t>
      </w:r>
      <w:bookmarkEnd w:id="608"/>
      <w:r/>
      <w:bookmarkEnd w:id="609"/>
      <w:r/>
      <w:bookmarkEnd w:id="610"/>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13" w:name="_Toc12762"/>
      <w:r/>
      <w:bookmarkStart w:id="614" w:name="_Toc27749"/>
      <w:r>
        <w:rPr>
          <w:rFonts w:hint="eastAsia" w:ascii="仿宋" w:hAnsi="仿宋" w:eastAsia="仿宋" w:cs="仿宋"/>
          <w:color w:val="auto"/>
          <w:sz w:val="24"/>
          <w:szCs w:val="24"/>
          <w:highlight w:val="none"/>
        </w:rPr>
        <w:t xml:space="preserve">16.1 发包人违约</w:t>
      </w:r>
      <w:bookmarkEnd w:id="613"/>
      <w:r/>
      <w:bookmarkEnd w:id="614"/>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p>
    <w:p>
      <w:pPr>
        <w:ind w:left="1200" w:hanging="120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1200" w:hanging="120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16.1.2 发包人违约的责任</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 工期顺延但不补偿费用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发生时双方另行商定，但不</w:t>
      </w:r>
      <w:r>
        <w:rPr>
          <w:rFonts w:hint="eastAsia" w:ascii="仿宋" w:hAnsi="仿宋" w:eastAsia="仿宋" w:cs="仿宋"/>
          <w:color w:val="auto"/>
          <w:sz w:val="24"/>
          <w:szCs w:val="24"/>
          <w:highlight w:val="none"/>
          <w:u w:val="single"/>
          <w:lang w:eastAsia="zh-CN"/>
        </w:rPr>
        <w:t xml:space="preserve">计</w:t>
      </w:r>
      <w:r>
        <w:rPr>
          <w:rFonts w:hint="eastAsia" w:ascii="仿宋" w:hAnsi="仿宋" w:eastAsia="仿宋" w:cs="仿宋"/>
          <w:color w:val="auto"/>
          <w:sz w:val="24"/>
          <w:szCs w:val="24"/>
          <w:highlight w:val="none"/>
          <w:u w:val="single"/>
        </w:rPr>
        <w:t xml:space="preserve">取延期利息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发包人不承担违约责任，承包人在投标时已慎重考虑可能发生的风险，已包含在发包价内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 因发包人违约解除合同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  180  </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15" w:name="_Toc10753"/>
      <w:r/>
      <w:bookmarkStart w:id="616" w:name="_Toc24530"/>
      <w:r>
        <w:rPr>
          <w:rFonts w:hint="eastAsia" w:ascii="仿宋" w:hAnsi="仿宋" w:eastAsia="仿宋" w:cs="仿宋"/>
          <w:color w:val="auto"/>
          <w:sz w:val="24"/>
          <w:szCs w:val="24"/>
          <w:highlight w:val="none"/>
        </w:rPr>
        <w:t xml:space="preserve">16.2 承包人违约</w:t>
      </w:r>
      <w:bookmarkEnd w:id="615"/>
      <w:r/>
      <w:bookmarkEnd w:id="616"/>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 承包人违约的情形</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承包人违约的其他情形：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（2）因承包人原因被责令停工和返工的，除无条件及时整改外，承包人须向发包人支付违约金不低于20000元/次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（3）因承包人提供的竣工资料原因影响工程正常竣工验收的，每延迟一天，承包人应向发包人支付1000元的违约金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（4）施工期间因承包人原因发生质量和安全事故，承包人除承担责任外，还必须承担事故处理的一切费用、工程的恢复费用及因此造</w:t>
      </w:r>
      <w:r>
        <w:rPr>
          <w:rFonts w:hint="eastAsia" w:ascii="仿宋" w:hAnsi="仿宋" w:eastAsia="仿宋" w:cs="仿宋"/>
          <w:color w:val="auto"/>
          <w:sz w:val="24"/>
          <w:szCs w:val="24"/>
          <w:highlight w:val="none"/>
          <w:u w:val="single"/>
          <w:lang w:eastAsia="zh-CN"/>
        </w:rPr>
        <w:t xml:space="preserve">成的</w:t>
      </w:r>
      <w:r>
        <w:rPr>
          <w:rFonts w:hint="eastAsia" w:ascii="仿宋" w:hAnsi="仿宋" w:eastAsia="仿宋" w:cs="仿宋"/>
          <w:color w:val="auto"/>
          <w:sz w:val="24"/>
          <w:szCs w:val="24"/>
          <w:highlight w:val="none"/>
          <w:u w:val="single"/>
        </w:rPr>
        <w:t xml:space="preserve">后续工程延期费用，并承担由此给发包人所造成的经济损失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（7）被有关部门检查通报批评的，除立即无条件整改外，承包人须向发包人支付违约金不低于10000元/次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承包人违约责任的承担方式和计算方法：</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仿宋" w:hAnsi="仿宋" w:eastAsia="仿宋" w:cs="仿宋"/>
          <w:color w:val="auto"/>
          <w:sz w:val="24"/>
          <w:szCs w:val="24"/>
          <w:highlight w:val="none"/>
          <w:u w:val="singl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仿宋" w:hAnsi="仿宋" w:eastAsia="仿宋" w:cs="仿宋"/>
          <w:color w:val="auto"/>
          <w:sz w:val="24"/>
          <w:szCs w:val="24"/>
          <w:highlight w:val="none"/>
          <w:u w:val="single"/>
          <w:lang w:eastAsia="zh-CN"/>
        </w:rPr>
        <w:t xml:space="preserve">经</w:t>
      </w:r>
      <w:r>
        <w:rPr>
          <w:rFonts w:hint="eastAsia" w:ascii="仿宋" w:hAnsi="仿宋" w:eastAsia="仿宋" w:cs="仿宋"/>
          <w:color w:val="auto"/>
          <w:sz w:val="24"/>
          <w:szCs w:val="24"/>
          <w:highlight w:val="none"/>
          <w:u w:val="single"/>
        </w:rPr>
        <w:t xml:space="preserve">发包人和监理工程师共同签证核对即自行采购材料和工程设备，后再</w:t>
      </w:r>
      <w:r>
        <w:rPr>
          <w:rFonts w:hint="eastAsia" w:ascii="仿宋" w:hAnsi="仿宋" w:eastAsia="仿宋" w:cs="仿宋"/>
          <w:color w:val="auto"/>
          <w:sz w:val="24"/>
          <w:szCs w:val="24"/>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（3）因承包人原因导致工程质量不符合合同要求的：凡经验收工程质量不符合合同要求的，承包人必须自费返工，由此而造</w:t>
      </w:r>
      <w:r>
        <w:rPr>
          <w:rFonts w:hint="eastAsia" w:ascii="仿宋" w:hAnsi="仿宋" w:eastAsia="仿宋" w:cs="仿宋"/>
          <w:color w:val="auto"/>
          <w:sz w:val="24"/>
          <w:szCs w:val="24"/>
          <w:highlight w:val="none"/>
          <w:u w:val="single"/>
          <w:lang w:eastAsia="zh-CN"/>
        </w:rPr>
        <w:t xml:space="preserve">成的</w:t>
      </w:r>
      <w:r>
        <w:rPr>
          <w:rFonts w:hint="eastAsia" w:ascii="仿宋" w:hAnsi="仿宋" w:eastAsia="仿宋" w:cs="仿宋"/>
          <w:color w:val="auto"/>
          <w:sz w:val="24"/>
          <w:szCs w:val="24"/>
          <w:highlight w:val="none"/>
          <w:u w:val="single"/>
        </w:rPr>
        <w:t xml:space="preserve">一切经济损失由承包人承担，需要鉴定的部分由承包人承担鉴定费用，因返工而造成工期延误的要执行工期违约处罚条款。工程二次验收工程质量仍不符合合同要求的，发</w:t>
      </w:r>
      <w:r>
        <w:rPr>
          <w:rFonts w:hint="eastAsia" w:ascii="仿宋" w:hAnsi="仿宋" w:eastAsia="仿宋" w:cs="仿宋"/>
          <w:color w:val="auto"/>
          <w:sz w:val="24"/>
          <w:szCs w:val="24"/>
          <w:highlight w:val="none"/>
          <w:u w:val="single"/>
        </w:rPr>
        <w:t xml:space="preserve">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承包人在缺陷责任期及保修期内，未能在合理期限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仿宋" w:hAnsi="仿宋" w:eastAsia="仿宋" w:cs="仿宋"/>
          <w:color w:val="auto"/>
          <w:sz w:val="24"/>
          <w:szCs w:val="24"/>
          <w:highlight w:val="none"/>
          <w:u w:val="single"/>
          <w:lang w:eastAsia="zh-CN"/>
        </w:rPr>
        <w:t xml:space="preserve">其他</w:t>
      </w:r>
      <w:r>
        <w:rPr>
          <w:rFonts w:hint="eastAsia" w:ascii="仿宋" w:hAnsi="仿宋" w:eastAsia="仿宋" w:cs="仿宋"/>
          <w:color w:val="auto"/>
          <w:sz w:val="24"/>
          <w:szCs w:val="24"/>
          <w:highlight w:val="none"/>
          <w:u w:val="single"/>
        </w:rPr>
        <w:t xml:space="preserve">违约处罚条款继续有效。</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（9）如发现承包人有以下行为勒令整改并加以处罚，发包人有权对承包人每次索赔不少于人民币5仟元的违约金；整改无效</w:t>
      </w:r>
      <w:r>
        <w:rPr>
          <w:rFonts w:hint="eastAsia" w:ascii="仿宋" w:hAnsi="仿宋" w:eastAsia="仿宋" w:cs="仿宋"/>
          <w:color w:val="auto"/>
          <w:sz w:val="24"/>
          <w:szCs w:val="24"/>
          <w:highlight w:val="none"/>
          <w:u w:val="single"/>
          <w:lang w:eastAsia="zh-CN"/>
        </w:rPr>
        <w:t xml:space="preserve">视为</w:t>
      </w:r>
      <w:r>
        <w:rPr>
          <w:rFonts w:hint="eastAsia" w:ascii="仿宋" w:hAnsi="仿宋" w:eastAsia="仿宋" w:cs="仿宋"/>
          <w:color w:val="auto"/>
          <w:sz w:val="24"/>
          <w:szCs w:val="24"/>
          <w:highlight w:val="none"/>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仿宋" w:hAnsi="仿宋" w:eastAsia="仿宋" w:cs="仿宋"/>
          <w:color w:val="auto"/>
          <w:sz w:val="24"/>
          <w:szCs w:val="24"/>
          <w:highlight w:val="none"/>
          <w:u w:val="single"/>
          <w:lang w:eastAsia="zh-CN"/>
        </w:rPr>
        <w:t xml:space="preserve">其他类似</w:t>
      </w:r>
      <w:r>
        <w:rPr>
          <w:rFonts w:hint="eastAsia" w:ascii="仿宋" w:hAnsi="仿宋" w:eastAsia="仿宋" w:cs="仿宋"/>
          <w:color w:val="auto"/>
          <w:sz w:val="24"/>
          <w:szCs w:val="24"/>
          <w:highlight w:val="none"/>
          <w:u w:val="single"/>
        </w:rPr>
        <w:t xml:space="preserve">情况。</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（11）在施工过程、工程移交中以及质量保修期内，由于承包人原因出现的质量问题、安全事故或</w:t>
      </w:r>
      <w:r>
        <w:rPr>
          <w:rFonts w:hint="eastAsia" w:ascii="仿宋" w:hAnsi="仿宋" w:eastAsia="仿宋" w:cs="仿宋"/>
          <w:color w:val="auto"/>
          <w:sz w:val="24"/>
          <w:szCs w:val="24"/>
          <w:highlight w:val="none"/>
          <w:u w:val="single"/>
          <w:lang w:eastAsia="zh-CN"/>
        </w:rPr>
        <w:t xml:space="preserve">其他</w:t>
      </w:r>
      <w:r>
        <w:rPr>
          <w:rFonts w:hint="eastAsia" w:ascii="仿宋" w:hAnsi="仿宋" w:eastAsia="仿宋" w:cs="仿宋"/>
          <w:color w:val="auto"/>
          <w:sz w:val="24"/>
          <w:szCs w:val="24"/>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（12）工程竣工验收合格后7日内，承包人应将工程交付发包人，每延迟一天承包人交纳合同总价千分之一违约金，延期超过15天的视承包人违约，发包人有权单方解除合同，自行接收工程。</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（13）承包人在投标文件中所列及的所有事项，都视为是对发包人及本工程的承诺，施工过程中若发现未经发包人同意而实际操作与投标文件不一致的情况，发包人将视情况给予违约处理。</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（15）在履行合同过程中，因承包人违约必须用现金向发包人</w:t>
      </w:r>
      <w:r>
        <w:rPr>
          <w:rFonts w:hint="eastAsia" w:ascii="仿宋" w:hAnsi="仿宋" w:eastAsia="仿宋" w:cs="仿宋"/>
          <w:color w:val="auto"/>
          <w:sz w:val="24"/>
          <w:szCs w:val="24"/>
          <w:highlight w:val="none"/>
          <w:u w:val="single"/>
          <w:lang w:eastAsia="zh-CN"/>
        </w:rPr>
        <w:t xml:space="preserve">缴纳</w:t>
      </w:r>
      <w:r>
        <w:rPr>
          <w:rFonts w:hint="eastAsia" w:ascii="仿宋" w:hAnsi="仿宋" w:eastAsia="仿宋" w:cs="仿宋"/>
          <w:color w:val="auto"/>
          <w:sz w:val="24"/>
          <w:szCs w:val="24"/>
          <w:highlight w:val="none"/>
          <w:u w:val="single"/>
        </w:rPr>
        <w:t xml:space="preserve">违约金，如承包人不及时</w:t>
      </w:r>
      <w:r>
        <w:rPr>
          <w:rFonts w:hint="eastAsia" w:ascii="仿宋" w:hAnsi="仿宋" w:eastAsia="仿宋" w:cs="仿宋"/>
          <w:color w:val="auto"/>
          <w:sz w:val="24"/>
          <w:szCs w:val="24"/>
          <w:highlight w:val="none"/>
          <w:u w:val="single"/>
          <w:lang w:eastAsia="zh-CN"/>
        </w:rPr>
        <w:t xml:space="preserve">缴纳</w:t>
      </w:r>
      <w:r>
        <w:rPr>
          <w:rFonts w:hint="eastAsia" w:ascii="仿宋" w:hAnsi="仿宋" w:eastAsia="仿宋" w:cs="仿宋"/>
          <w:color w:val="auto"/>
          <w:sz w:val="24"/>
          <w:szCs w:val="24"/>
          <w:highlight w:val="none"/>
          <w:u w:val="single"/>
        </w:rPr>
        <w:t xml:space="preserve">违约金，责任由承包人承担，发包人有权拒付工程款，或从当期工程款或履约保证金中双倍扣回。</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（16）承包人未能按照合同约定履行其他义务的：视为承包人违约，届时根据具体情况，予以处理及处罚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 因承包人违约解除合同</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 </w:t>
      </w:r>
      <w:r>
        <w:rPr>
          <w:rFonts w:hint="eastAsia" w:ascii="仿宋" w:hAnsi="仿宋" w:eastAsia="仿宋" w:cs="仿宋"/>
          <w:color w:val="auto"/>
          <w:sz w:val="24"/>
          <w:szCs w:val="24"/>
          <w:highlight w:val="none"/>
          <w:u w:val="single"/>
        </w:rPr>
        <w:t xml:space="preserve">因承包人违约，发包人解除合同的，尚未支付的工程款不再支付，履约保证金和中标差额担保（如有）不再返还，承包人应再向发包人支付违约金</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万元，违约金不足以赔偿因此而给发包人和相关第三方造成的全部经济损失，需</w:t>
      </w:r>
      <w:r>
        <w:rPr>
          <w:rFonts w:hint="eastAsia" w:ascii="仿宋" w:hAnsi="仿宋" w:eastAsia="仿宋" w:cs="仿宋"/>
          <w:color w:val="auto"/>
          <w:sz w:val="24"/>
          <w:szCs w:val="24"/>
          <w:highlight w:val="none"/>
          <w:u w:val="single"/>
          <w:lang w:eastAsia="zh-CN"/>
        </w:rPr>
        <w:t xml:space="preserve">赔偿</w:t>
      </w:r>
      <w:r>
        <w:rPr>
          <w:rFonts w:hint="eastAsia" w:ascii="仿宋" w:hAnsi="仿宋" w:eastAsia="仿宋" w:cs="仿宋"/>
          <w:color w:val="auto"/>
          <w:sz w:val="24"/>
          <w:szCs w:val="24"/>
          <w:highlight w:val="none"/>
          <w:u w:val="single"/>
        </w:rPr>
        <w:t xml:space="preserve">实际损失</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t xml:space="preserve">承包人承担 </w:t>
      </w:r>
      <w:r>
        <w:rPr>
          <w:rFonts w:hint="eastAsia" w:ascii="仿宋" w:hAnsi="仿宋" w:eastAsia="仿宋" w:cs="仿宋"/>
          <w:color w:val="auto"/>
          <w:sz w:val="24"/>
          <w:szCs w:val="24"/>
          <w:highlight w:val="none"/>
        </w:rPr>
        <w:t xml:space="preserve">。</w:t>
      </w:r>
      <w:r/>
    </w:p>
    <w:p>
      <w:pPr>
        <w:pStyle w:val="694"/>
        <w:ind w:left="0"/>
        <w:pageBreakBefore w:val="0"/>
        <w:spacing w:line="380" w:lineRule="exact"/>
        <w:widowControl w:val="off"/>
        <w:rPr>
          <w:rFonts w:hint="eastAsia" w:ascii="仿宋" w:hAnsi="仿宋" w:eastAsia="仿宋" w:cs="仿宋"/>
          <w:b w:val="0"/>
          <w:color w:val="auto"/>
          <w:sz w:val="24"/>
          <w:szCs w:val="24"/>
          <w:highlight w:val="none"/>
        </w:rPr>
        <w:outlineLvl w:val="1"/>
      </w:pPr>
      <w:r/>
      <w:bookmarkStart w:id="617" w:name="_Toc28293"/>
      <w:r/>
      <w:bookmarkStart w:id="618" w:name="_Toc16669"/>
      <w:r/>
      <w:bookmarkStart w:id="619" w:name="_Toc351203649"/>
      <w:r>
        <w:rPr>
          <w:rFonts w:hint="eastAsia" w:ascii="仿宋" w:hAnsi="仿宋" w:eastAsia="仿宋" w:cs="仿宋"/>
          <w:b w:val="0"/>
          <w:color w:val="auto"/>
          <w:sz w:val="24"/>
          <w:szCs w:val="24"/>
          <w:highlight w:val="none"/>
        </w:rPr>
        <w:t xml:space="preserve">17. 不可抗力</w:t>
      </w:r>
      <w:bookmarkEnd w:id="617"/>
      <w:r/>
      <w:bookmarkEnd w:id="618"/>
      <w:r/>
      <w:bookmarkEnd w:id="619"/>
      <w:r>
        <w:rPr>
          <w:rFonts w:hint="eastAsia" w:ascii="仿宋" w:hAnsi="仿宋" w:eastAsia="仿宋" w:cs="仿宋"/>
          <w:b w:val="0"/>
          <w:color w:val="auto"/>
          <w:sz w:val="24"/>
          <w:szCs w:val="24"/>
          <w:highlight w:val="none"/>
        </w:rPr>
        <w:t xml:space="preserve"> </w:t>
      </w:r>
      <w:bookmarkEnd w:id="611"/>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 不可抗力的确认</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u w:val="single"/>
        </w:rPr>
        <w:t xml:space="preserve"> 国家权威部门发布且被界定为灾害的洪水、风灾、雪灾等；离子辐射或放射性污染；以音速或</w:t>
      </w:r>
      <w:r>
        <w:rPr>
          <w:rFonts w:hint="eastAsia" w:ascii="仿宋" w:hAnsi="仿宋" w:eastAsia="仿宋" w:cs="仿宋"/>
          <w:color w:val="auto"/>
          <w:sz w:val="24"/>
          <w:szCs w:val="24"/>
          <w:highlight w:val="none"/>
          <w:u w:val="single"/>
          <w:lang w:eastAsia="zh-CN"/>
        </w:rPr>
        <w:t xml:space="preserve">超声速</w:t>
      </w:r>
      <w:r>
        <w:rPr>
          <w:rFonts w:hint="eastAsia" w:ascii="仿宋" w:hAnsi="仿宋" w:eastAsia="仿宋" w:cs="仿宋"/>
          <w:color w:val="auto"/>
          <w:sz w:val="24"/>
          <w:szCs w:val="24"/>
          <w:highlight w:val="none"/>
          <w:u w:val="single"/>
        </w:rPr>
        <w:t xml:space="preserve">飞行的飞机或其他飞行装置产生的压力波，飞行坠落；因适用法律的变更或任何适用的后续法律的颁布所导致本合同的履行不再合法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20" w:name="_Toc32533"/>
      <w:r/>
      <w:bookmarkStart w:id="621" w:name="_Toc26340"/>
      <w:r>
        <w:rPr>
          <w:rFonts w:hint="eastAsia" w:ascii="仿宋" w:hAnsi="仿宋" w:eastAsia="仿宋" w:cs="仿宋"/>
          <w:color w:val="auto"/>
          <w:sz w:val="24"/>
          <w:szCs w:val="24"/>
          <w:highlight w:val="none"/>
        </w:rPr>
        <w:t xml:space="preserve">17.</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因不可抗力解除合同</w:t>
      </w:r>
      <w:bookmarkEnd w:id="620"/>
      <w:r/>
      <w:bookmarkEnd w:id="621"/>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天内完成款项的支付。</w:t>
      </w:r>
      <w:r/>
    </w:p>
    <w:p>
      <w:pPr>
        <w:pStyle w:val="694"/>
        <w:ind w:left="0"/>
        <w:pageBreakBefore w:val="0"/>
        <w:spacing w:line="380" w:lineRule="exact"/>
        <w:widowControl w:val="off"/>
        <w:rPr>
          <w:rFonts w:hint="eastAsia" w:ascii="仿宋" w:hAnsi="仿宋" w:eastAsia="仿宋" w:cs="仿宋"/>
          <w:b w:val="0"/>
          <w:color w:val="auto"/>
          <w:sz w:val="24"/>
          <w:szCs w:val="24"/>
          <w:highlight w:val="none"/>
        </w:rPr>
        <w:outlineLvl w:val="1"/>
      </w:pPr>
      <w:r/>
      <w:bookmarkStart w:id="622" w:name="_Toc30034"/>
      <w:r/>
      <w:bookmarkStart w:id="623" w:name="_Toc351203650"/>
      <w:r/>
      <w:bookmarkStart w:id="624" w:name="_Toc12850"/>
      <w:r>
        <w:rPr>
          <w:rFonts w:hint="eastAsia" w:ascii="仿宋" w:hAnsi="仿宋" w:eastAsia="仿宋" w:cs="仿宋"/>
          <w:b w:val="0"/>
          <w:color w:val="auto"/>
          <w:sz w:val="24"/>
          <w:szCs w:val="24"/>
          <w:highlight w:val="none"/>
        </w:rPr>
        <w:t xml:space="preserve">18. 保险</w:t>
      </w:r>
      <w:bookmarkEnd w:id="612"/>
      <w:r/>
      <w:bookmarkEnd w:id="622"/>
      <w:r/>
      <w:bookmarkEnd w:id="623"/>
      <w:r/>
      <w:bookmarkEnd w:id="624"/>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工程保险</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  承担合同履行期间所有按规定投保的内容。承包人必须为从事危险作业的职工办理意外伤害保险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25" w:name="_Toc16674"/>
      <w:r/>
      <w:bookmarkStart w:id="626" w:name="_Toc24691"/>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其他保险</w:t>
      </w:r>
      <w:bookmarkEnd w:id="625"/>
      <w:r/>
      <w:bookmarkEnd w:id="626"/>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 承包人需为其施工现场的全部人员办理社会保险并支付保险费，包括</w:t>
      </w:r>
      <w:r>
        <w:rPr>
          <w:rFonts w:hint="eastAsia" w:ascii="仿宋" w:hAnsi="仿宋" w:eastAsia="仿宋" w:cs="仿宋"/>
          <w:color w:val="auto"/>
          <w:sz w:val="24"/>
          <w:szCs w:val="24"/>
          <w:highlight w:val="none"/>
          <w:u w:val="single"/>
          <w:lang w:eastAsia="zh-CN"/>
        </w:rPr>
        <w:t xml:space="preserve">其他</w:t>
      </w:r>
      <w:r>
        <w:rPr>
          <w:rFonts w:hint="eastAsia" w:ascii="仿宋" w:hAnsi="仿宋" w:eastAsia="仿宋" w:cs="仿宋"/>
          <w:color w:val="auto"/>
          <w:sz w:val="24"/>
          <w:szCs w:val="24"/>
          <w:highlight w:val="none"/>
          <w:u w:val="single"/>
        </w:rPr>
        <w:t xml:space="preserve">员工及为履行合同聘请的第三方的人员  </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通知义务</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按通用合同条款执行  </w:t>
      </w:r>
      <w:r>
        <w:rPr>
          <w:rFonts w:hint="eastAsia" w:ascii="仿宋" w:hAnsi="仿宋" w:eastAsia="仿宋" w:cs="仿宋"/>
          <w:color w:val="auto"/>
          <w:sz w:val="24"/>
          <w:szCs w:val="24"/>
          <w:highlight w:val="none"/>
        </w:rPr>
        <w:t xml:space="preserve">。</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
    </w:p>
    <w:p>
      <w:pPr>
        <w:pStyle w:val="694"/>
        <w:ind w:left="0"/>
        <w:pageBreakBefore w:val="0"/>
        <w:spacing w:line="380" w:lineRule="exact"/>
        <w:widowControl w:val="off"/>
        <w:rPr>
          <w:rFonts w:hint="eastAsia" w:ascii="仿宋" w:hAnsi="仿宋" w:eastAsia="仿宋" w:cs="仿宋"/>
          <w:b w:val="0"/>
          <w:color w:val="auto"/>
          <w:sz w:val="24"/>
          <w:szCs w:val="24"/>
          <w:highlight w:val="none"/>
        </w:rPr>
        <w:outlineLvl w:val="1"/>
      </w:pPr>
      <w:r/>
      <w:bookmarkStart w:id="627" w:name="_Toc21836"/>
      <w:r/>
      <w:bookmarkStart w:id="628" w:name="_Toc23778"/>
      <w:r/>
      <w:bookmarkStart w:id="629" w:name="_Toc351203651"/>
      <w:r>
        <w:rPr>
          <w:rFonts w:hint="eastAsia" w:ascii="仿宋" w:hAnsi="仿宋" w:eastAsia="仿宋" w:cs="仿宋"/>
          <w:b w:val="0"/>
          <w:color w:val="auto"/>
          <w:sz w:val="24"/>
          <w:szCs w:val="24"/>
          <w:highlight w:val="none"/>
          <w:lang w:val="en-US" w:eastAsia="zh-CN"/>
        </w:rPr>
        <w:t xml:space="preserve">19</w:t>
      </w:r>
      <w:r>
        <w:rPr>
          <w:rFonts w:hint="eastAsia" w:ascii="仿宋" w:hAnsi="仿宋" w:eastAsia="仿宋" w:cs="仿宋"/>
          <w:b w:val="0"/>
          <w:color w:val="auto"/>
          <w:sz w:val="24"/>
          <w:szCs w:val="24"/>
          <w:highlight w:val="none"/>
        </w:rPr>
        <w:t xml:space="preserve">. 争议解决</w:t>
      </w:r>
      <w:bookmarkEnd w:id="588"/>
      <w:r/>
      <w:bookmarkEnd w:id="589"/>
      <w:r/>
      <w:bookmarkEnd w:id="627"/>
      <w:r/>
      <w:bookmarkEnd w:id="628"/>
      <w:r/>
      <w:bookmarkEnd w:id="629"/>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30" w:name="_Toc27376"/>
      <w:r/>
      <w:bookmarkStart w:id="631" w:name="_Toc26732"/>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争</w:t>
      </w:r>
      <w:bookmarkEnd w:id="590"/>
      <w:r>
        <w:rPr>
          <w:rFonts w:hint="eastAsia" w:ascii="仿宋" w:hAnsi="仿宋" w:eastAsia="仿宋" w:cs="仿宋"/>
          <w:color w:val="auto"/>
          <w:sz w:val="24"/>
          <w:szCs w:val="24"/>
          <w:highlight w:val="none"/>
        </w:rPr>
        <w:t xml:space="preserve">议评审</w:t>
      </w:r>
      <w:bookmarkEnd w:id="630"/>
      <w:r/>
      <w:bookmarkEnd w:id="631"/>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632" w:name="_Toc23775"/>
      <w:r/>
      <w:bookmarkStart w:id="633" w:name="_Toc11235"/>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 争议评审小组的确定</w:t>
      </w:r>
      <w:bookmarkEnd w:id="632"/>
      <w:r/>
      <w:bookmarkEnd w:id="633"/>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634" w:name="_Toc24576"/>
      <w:r/>
      <w:bookmarkStart w:id="635" w:name="_Toc2082"/>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.2 争议评审小组的决定</w:t>
      </w:r>
      <w:bookmarkEnd w:id="634"/>
      <w:r/>
      <w:bookmarkEnd w:id="635"/>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w:t>
      </w:r>
      <w:r>
        <w:rPr>
          <w:rFonts w:hint="eastAsia" w:ascii="仿宋" w:hAnsi="仿宋" w:eastAsia="仿宋" w:cs="仿宋"/>
          <w:color w:val="auto"/>
          <w:sz w:val="24"/>
          <w:szCs w:val="24"/>
          <w:highlight w:val="none"/>
          <w:lang w:eastAsia="zh-CN"/>
        </w:rPr>
        <w:t xml:space="preserve">本事</w:t>
      </w:r>
      <w:r>
        <w:rPr>
          <w:rFonts w:hint="eastAsia" w:ascii="仿宋" w:hAnsi="仿宋" w:eastAsia="仿宋" w:cs="仿宋"/>
          <w:color w:val="auto"/>
          <w:sz w:val="24"/>
          <w:szCs w:val="24"/>
          <w:highlight w:val="none"/>
        </w:rPr>
        <w:t xml:space="preserve">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36" w:name="_Toc14174"/>
      <w:r/>
      <w:bookmarkStart w:id="637" w:name="_Toc13519"/>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仲裁或诉讼</w:t>
      </w:r>
      <w:bookmarkEnd w:id="591"/>
      <w:r/>
      <w:bookmarkEnd w:id="636"/>
      <w:r/>
      <w:bookmarkEnd w:id="637"/>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 xml:space="preserve">种方式解决：</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仲裁委员会申请仲裁；</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     盱眙县      </w:t>
      </w:r>
      <w:r>
        <w:rPr>
          <w:rFonts w:hint="eastAsia" w:ascii="仿宋" w:hAnsi="仿宋" w:eastAsia="仿宋" w:cs="仿宋"/>
          <w:color w:val="auto"/>
          <w:sz w:val="24"/>
          <w:szCs w:val="24"/>
          <w:highlight w:val="none"/>
        </w:rPr>
        <w:t xml:space="preserve">人民法院起诉。</w:t>
      </w:r>
      <w:bookmarkEnd w:id="592"/>
      <w:r/>
      <w:bookmarkEnd w:id="593"/>
      <w:r/>
      <w:bookmarkEnd w:id="594"/>
      <w:r/>
      <w:bookmarkEnd w:id="595"/>
      <w:r/>
      <w:bookmarkEnd w:id="596"/>
      <w:r/>
      <w:bookmarkEnd w:id="597"/>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lang w:eastAsia="zh-CN"/>
        </w:rPr>
        <w:t xml:space="preserve">. 补充条款：</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1、承包人擅自停工的，发包人有权单方解除合同或安排其他施工队进场施工，施工费用从承包人工程款中扣除。如承包人擅自停工对发包人造成的损失，由承包人承担。</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2、承包人施工进度缓慢或消极怠工，发包人或监理人认为承包人无法在合同工期内完成，发包人有权另行安排施工队进场施工，施工费用从承包人工程款中扣除。</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3、承包人必须服从现场甲方代表、监理的协调指挥，不得野蛮施工。如三次书面警告无效后，发包人可单方解除合同。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4、承包人必须严格按照设计文件进行施工，所用材料必须符合相关设计及规范要求，严禁使用劣质产品，如经发现必须无条件返工。</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5、承包人不得以任何理由煽动施工人员攻击公务人员或行政机关，如有发现发包人可单方解除合同。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7、审计核减金额超出送审金额的5%，所有审计费均由承包人承担。</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8、承包人承担所有材料检测费用。</w:t>
      </w:r>
      <w:r/>
    </w:p>
    <w:p>
      <w:pPr>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w:t>
      </w:r>
      <w:r/>
    </w:p>
    <w:p>
      <w:pPr>
        <w:jc w:val="center"/>
        <w:pageBreakBefore w:val="0"/>
        <w:spacing w:line="3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建设工程质量保修书</w:t>
      </w:r>
      <w:r/>
    </w:p>
    <w:p>
      <w:pPr>
        <w:keepLines w:val="0"/>
        <w:keepNext w:val="0"/>
        <w:pageBreakBefore w:val="0"/>
        <w:spacing w:line="380" w:lineRule="exact"/>
        <w:widowControl w:val="off"/>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 xml:space="preserve">发包人（全称）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none"/>
          <w:lang w:val="en-US" w:eastAsia="zh-CN"/>
        </w:rPr>
        <w:t xml:space="preserve">（简称甲方）</w:t>
      </w:r>
      <w:r/>
    </w:p>
    <w:p>
      <w:pPr>
        <w:keepLines w:val="0"/>
        <w:keepNext w:val="0"/>
        <w:pageBreakBefore w:val="0"/>
        <w:spacing w:line="380" w:lineRule="exact"/>
        <w:widowControl w:val="off"/>
        <w:rPr>
          <w:rFonts w:hint="eastAsia"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none"/>
          <w:lang w:val="en-US" w:eastAsia="zh-CN"/>
        </w:rPr>
        <w:t xml:space="preserve">承包人（全称）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none"/>
          <w:lang w:val="en-US" w:eastAsia="zh-CN"/>
        </w:rPr>
        <w:t xml:space="preserve">（简称乙方）</w:t>
      </w:r>
      <w:r/>
    </w:p>
    <w:p>
      <w:pPr>
        <w:ind w:firstLine="435"/>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发包人、承包人根据《中华人民共和国建筑法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建设工程质量管理条例》和《房屋</w:t>
      </w:r>
      <w:r>
        <w:rPr>
          <w:rFonts w:hint="eastAsia" w:ascii="仿宋" w:hAnsi="仿宋" w:eastAsia="仿宋" w:cs="仿宋"/>
          <w:color w:val="auto"/>
          <w:sz w:val="24"/>
          <w:szCs w:val="24"/>
          <w:highlight w:val="none"/>
          <w:lang w:eastAsia="zh-CN"/>
        </w:rPr>
        <w:t xml:space="preserve">市政公用工程</w:t>
      </w:r>
      <w:r>
        <w:rPr>
          <w:rFonts w:hint="eastAsia" w:ascii="仿宋" w:hAnsi="仿宋" w:eastAsia="仿宋" w:cs="仿宋"/>
          <w:color w:val="auto"/>
          <w:sz w:val="24"/>
          <w:szCs w:val="24"/>
          <w:highlight w:val="none"/>
        </w:rPr>
        <w:t xml:space="preserve">质量保修办法》，经协商一致，对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（工程全称）</w:t>
      </w:r>
      <w:r>
        <w:rPr>
          <w:rFonts w:hint="eastAsia" w:ascii="仿宋" w:hAnsi="仿宋" w:eastAsia="仿宋" w:cs="仿宋"/>
          <w:color w:val="auto"/>
          <w:sz w:val="24"/>
          <w:szCs w:val="24"/>
          <w:highlight w:val="none"/>
          <w:lang w:eastAsia="zh-CN"/>
        </w:rPr>
        <w:t xml:space="preserve">签订</w:t>
      </w:r>
      <w:r>
        <w:rPr>
          <w:rFonts w:hint="eastAsia" w:ascii="仿宋" w:hAnsi="仿宋" w:eastAsia="仿宋" w:cs="仿宋"/>
          <w:color w:val="auto"/>
          <w:sz w:val="24"/>
          <w:szCs w:val="24"/>
          <w:highlight w:val="none"/>
        </w:rPr>
        <w:t xml:space="preserve">工程质量保修书。</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一、工程质量保修范围和内容</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承包人在质量保修期内，按照有关</w:t>
      </w:r>
      <w:r>
        <w:rPr>
          <w:rFonts w:hint="eastAsia" w:ascii="仿宋" w:hAnsi="仿宋" w:eastAsia="仿宋" w:cs="仿宋"/>
          <w:bCs/>
          <w:color w:val="auto"/>
          <w:sz w:val="24"/>
          <w:szCs w:val="24"/>
          <w:highlight w:val="none"/>
          <w:lang w:eastAsia="zh-CN"/>
        </w:rPr>
        <w:t xml:space="preserve">法律法规</w:t>
      </w:r>
      <w:r>
        <w:rPr>
          <w:rFonts w:hint="eastAsia" w:ascii="仿宋" w:hAnsi="仿宋" w:eastAsia="仿宋" w:cs="仿宋"/>
          <w:bCs/>
          <w:color w:val="auto"/>
          <w:sz w:val="24"/>
          <w:szCs w:val="24"/>
          <w:highlight w:val="none"/>
        </w:rPr>
        <w:t xml:space="preserve">、规章的管理规定和双方约定，承担本工程质量保修责任。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 xml:space="preserve">质量保修范围</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具体质量保修内容双方约定如下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所有施工项目按规定保修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二、质量保修期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双方根据《建设工程质量管理条例》及有关规定，约定本工程的质量保修期如下</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 xml:space="preserve">1、基础设施工程、房屋建筑的地基基础工程和主体工程质保期：以设计合理使用年限为准；</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2、屋面防水工程、有防水要求的卫生间、房间和外墙面的防渗漏为五年；</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3、装修工程为贰年；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4、电气管线、给排水管道、设备安装为</w:t>
      </w:r>
      <w:r>
        <w:rPr>
          <w:rFonts w:hint="eastAsia" w:ascii="仿宋" w:hAnsi="仿宋" w:eastAsia="仿宋" w:cs="仿宋"/>
          <w:bCs/>
          <w:color w:val="auto"/>
          <w:sz w:val="24"/>
          <w:szCs w:val="24"/>
          <w:highlight w:val="none"/>
          <w:u w:val="single"/>
        </w:rPr>
        <w:t xml:space="preserve">贰年</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bCs/>
          <w:color w:val="auto"/>
          <w:sz w:val="24"/>
          <w:szCs w:val="24"/>
          <w:highlight w:val="none"/>
          <w:u w:val="single"/>
        </w:rPr>
        <w:t xml:space="preserve">贰个</w:t>
      </w:r>
      <w:r>
        <w:rPr>
          <w:rFonts w:hint="eastAsia" w:ascii="仿宋" w:hAnsi="仿宋" w:eastAsia="仿宋" w:cs="仿宋"/>
          <w:color w:val="auto"/>
          <w:sz w:val="24"/>
          <w:szCs w:val="24"/>
          <w:highlight w:val="none"/>
        </w:rPr>
        <w:t xml:space="preserve">采暖期、供冷期；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6、道路、水泥地坪等为</w:t>
      </w:r>
      <w:r>
        <w:rPr>
          <w:rFonts w:hint="eastAsia" w:ascii="仿宋" w:hAnsi="仿宋" w:eastAsia="仿宋" w:cs="仿宋"/>
          <w:bCs/>
          <w:color w:val="auto"/>
          <w:sz w:val="24"/>
          <w:szCs w:val="24"/>
          <w:highlight w:val="none"/>
          <w:u w:val="single"/>
        </w:rPr>
        <w:t xml:space="preserve">贰年</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7、绿化、苗木等免费养护期为</w:t>
      </w:r>
      <w:r>
        <w:rPr>
          <w:rFonts w:hint="eastAsia" w:ascii="仿宋" w:hAnsi="仿宋" w:eastAsia="仿宋" w:cs="仿宋"/>
          <w:color w:val="auto"/>
          <w:sz w:val="24"/>
          <w:szCs w:val="24"/>
          <w:highlight w:val="none"/>
          <w:u w:val="single"/>
        </w:rPr>
        <w:t xml:space="preserve">贰年</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8、其他项目保修期限约定如下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宋体" w:hAnsi="宋体" w:cs="宋体"/>
          <w:b/>
          <w:bCs/>
          <w:color w:val="000000"/>
          <w:sz w:val="24"/>
          <w:highlight w:val="yellow"/>
          <w:u w:val="single"/>
        </w:rPr>
        <w:t xml:space="preserve">本工程保修期</w:t>
      </w:r>
      <w:r>
        <w:rPr>
          <w:rFonts w:hint="eastAsia" w:ascii="宋体" w:hAnsi="宋体" w:cs="宋体"/>
          <w:b/>
          <w:bCs/>
          <w:color w:val="000000"/>
          <w:sz w:val="24"/>
          <w:highlight w:val="yellow"/>
          <w:u w:val="single"/>
          <w:lang w:val="en-US" w:eastAsia="zh-CN"/>
        </w:rPr>
        <w:t xml:space="preserve">2</w:t>
      </w:r>
      <w:r>
        <w:rPr>
          <w:rFonts w:hint="eastAsia" w:ascii="宋体" w:hAnsi="宋体" w:cs="宋体"/>
          <w:b/>
          <w:bCs/>
          <w:color w:val="000000"/>
          <w:sz w:val="24"/>
          <w:highlight w:val="yellow"/>
          <w:u w:val="single"/>
        </w:rPr>
        <w:t xml:space="preserve">年</w:t>
      </w:r>
      <w:r>
        <w:rPr>
          <w:rFonts w:hint="eastAsia" w:ascii="仿宋" w:hAnsi="仿宋" w:eastAsia="仿宋" w:cs="仿宋"/>
          <w:color w:val="auto"/>
          <w:sz w:val="24"/>
          <w:szCs w:val="24"/>
          <w:highlight w:val="none"/>
        </w:rPr>
        <w:t xml:space="preserve">。        </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质量保修期自工程竣工验收合格之日起计算。</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三、缺陷责任期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lang w:val="en-US" w:eastAsia="zh-CN"/>
        </w:rPr>
        <w:t xml:space="preserve"> 24</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 四</w:t>
      </w:r>
      <w:r>
        <w:rPr>
          <w:rFonts w:hint="eastAsia" w:ascii="仿宋" w:hAnsi="仿宋" w:eastAsia="仿宋" w:cs="仿宋"/>
          <w:color w:val="auto"/>
          <w:sz w:val="24"/>
          <w:szCs w:val="24"/>
          <w:highlight w:val="none"/>
        </w:rPr>
        <w:t xml:space="preserve">、质量保修责任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1、属于保修范围和内容的项目，承包人应在接到修理通知之</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内派人进行修理。承包人不在约定期限内，派人修理，发包人可委托其他人员修理，产生的费用从质量保修金中扣除。</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2、发生紧急抢修事故的，承包人在接到事故通知后，应立即到达事故现场抢修。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3、对于涉及结构安全的质量问题，应当按照《房屋</w:t>
      </w:r>
      <w:r>
        <w:rPr>
          <w:rFonts w:hint="eastAsia" w:ascii="仿宋" w:hAnsi="仿宋" w:eastAsia="仿宋" w:cs="仿宋"/>
          <w:color w:val="auto"/>
          <w:sz w:val="24"/>
          <w:szCs w:val="24"/>
          <w:highlight w:val="none"/>
          <w:lang w:eastAsia="zh-CN"/>
        </w:rPr>
        <w:t xml:space="preserve">市政公用工程</w:t>
      </w:r>
      <w:r>
        <w:rPr>
          <w:rFonts w:hint="eastAsia" w:ascii="仿宋" w:hAnsi="仿宋" w:eastAsia="仿宋" w:cs="仿宋"/>
          <w:color w:val="auto"/>
          <w:sz w:val="24"/>
          <w:szCs w:val="24"/>
          <w:highlight w:val="none"/>
        </w:rPr>
        <w:t xml:space="preserve">质量保修办法》的规定，立即向当地建设行政主管部门报告，采取安全防范措施；由原设计单位或者具有相应资质等级的设计单位提出保修方案，承包人实施保修。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4、质量保修完成后，由发包人组织验收。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、保修费用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保修费用由造成质量缺陷的责任方承担。</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、其他</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双方约定的其他工程质量保修事项</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工程质量保修书作为施工合同附件，由施工合同发包人、承包人双方在竣工验收前共同签署，作为施工合同附件，其有效期限至保修期满。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                           法定代表人</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                           年  月  日</w:t>
      </w:r>
      <w:r/>
    </w:p>
    <w:p>
      <w:pPr>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附件2：</w:t>
      </w:r>
      <w:r/>
    </w:p>
    <w:p>
      <w:pPr>
        <w:jc w:val="center"/>
        <w:pageBreakBefore w:val="0"/>
        <w:spacing w:line="3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建设工程廉政责任书</w:t>
      </w:r>
      <w:r/>
    </w:p>
    <w:p>
      <w:pPr>
        <w:jc w:val="left"/>
        <w:keepLines w:val="0"/>
        <w:keepNext w:val="0"/>
        <w:pageBreakBefore w:val="0"/>
        <w:spacing w:line="380" w:lineRule="exact"/>
        <w:widowControl w:val="off"/>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 xml:space="preserve">发包人（全称）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none"/>
          <w:lang w:val="en-US" w:eastAsia="zh-CN"/>
        </w:rPr>
        <w:t xml:space="preserve"> （简称甲方）</w:t>
      </w:r>
      <w:r/>
    </w:p>
    <w:p>
      <w:pPr>
        <w:keepLines w:val="0"/>
        <w:keepNext w:val="0"/>
        <w:pageBreakBefore w:val="0"/>
        <w:spacing w:line="380" w:lineRule="exact"/>
        <w:widowControl w:val="off"/>
        <w:rPr>
          <w:rFonts w:hint="eastAsia"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none"/>
          <w:lang w:val="en-US" w:eastAsia="zh-CN"/>
        </w:rPr>
        <w:t xml:space="preserve">承包人（全称）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none"/>
          <w:lang w:val="en-US" w:eastAsia="zh-CN"/>
        </w:rPr>
        <w:t xml:space="preserve">（简称乙方）</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在建设过程中，为加强建设工程廉政建设，规范建设工程各项活动中发包</w:t>
      </w:r>
      <w:r>
        <w:rPr>
          <w:rFonts w:hint="eastAsia" w:ascii="仿宋" w:hAnsi="仿宋" w:eastAsia="仿宋" w:cs="仿宋"/>
          <w:color w:val="auto"/>
          <w:sz w:val="24"/>
          <w:szCs w:val="24"/>
          <w:highlight w:val="none"/>
          <w:lang w:eastAsia="zh-CN"/>
        </w:rPr>
        <w:t xml:space="preserve">人和</w:t>
      </w:r>
      <w:r>
        <w:rPr>
          <w:rFonts w:hint="eastAsia" w:ascii="仿宋" w:hAnsi="仿宋" w:eastAsia="仿宋" w:cs="仿宋"/>
          <w:color w:val="auto"/>
          <w:sz w:val="24"/>
          <w:szCs w:val="24"/>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一、双方的责任</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1.1应严格遵守国家关于建设工程的有关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，相关政策，以及廉政建设的各项规定。</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1.2严格执行建设工程合同文件，自觉按合同办事。</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1.3各项活动必须坚持公开、公平、公正、诚信、透明的原则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除法律法规另有规定者外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，不得为获取不正当的利益，损害国家、集体和对方利益，不得违反建设工程管理的规章制度。</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1.4发现对方在业务活动中有违规、违纪、违法行为的，应及时提醒对方，情节严重的，应向其上级主管部门或纪检监察、司法等有关机关举报。</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二、发包人责任</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发包人的领导和从事该建设工程项目的工作人员，在工程建设的事前、事中、事后应遵守以下规定：</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2.1不得向承包人和相关单位索要或接受回扣、礼金、有价证券、贵重物品和好处费、感谢费等。</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2.2不得在承包人和相关单位报销任何应由发包人或个人支付的费用。</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2.3不得要求、暗示或接受承包人和相关单位为个人装修住房、婚丧嫁娶、配偶子女的工作安排以及出国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、旅游等提供方便。</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2.4不得参加有可能影响公正执行公务的承包人和相关单位的宴请、健身、娱乐等活动。</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三、承包人责任</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3.1不得以任何理由向发包人及其工作人员索要、接受或赠送礼金、有价证券、贵重物品及回扣、好处费、感谢费等。</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3.2不得以任何理由为发包人和相关单位报销应由对方或个人支付的费用。</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3.3不得接受或暗示为发包人、相关单位或个人装修住房、婚丧嫁娶、配偶子女的工作安排以及出国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、旅游等提供方便。</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3.4不得以任何理由为发包人、相关单位或个人组织有可能影响公正执行公务的宴请、健身、娱乐等活动。</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四、违约责任</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4.1发包人工作人员有违反本责任书第一、二条责任行为的，依据有关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给予处理；涉嫌犯罪的，移交司法机关追究刑事责任；给承包人单位造成经济损失的，应予以赔偿。</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4.3本责任书作为建设工程合同的组成部分，与建设工程合同具有同等法律效力。经双方签署后立即生效。</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五、责任书有效期</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本责任书的有效期为双方签署之日起至该工程项目竣工验收合格时止。</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六、责任书份数</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本责任书一式四份，发包</w:t>
      </w:r>
      <w:r>
        <w:rPr>
          <w:rFonts w:hint="eastAsia" w:ascii="仿宋" w:hAnsi="仿宋" w:eastAsia="仿宋" w:cs="仿宋"/>
          <w:color w:val="auto"/>
          <w:sz w:val="24"/>
          <w:szCs w:val="24"/>
          <w:highlight w:val="none"/>
          <w:lang w:eastAsia="zh-CN"/>
        </w:rPr>
        <w:t xml:space="preserve">人和</w:t>
      </w:r>
      <w:r>
        <w:rPr>
          <w:rFonts w:hint="eastAsia" w:ascii="仿宋" w:hAnsi="仿宋" w:eastAsia="仿宋" w:cs="仿宋"/>
          <w:color w:val="auto"/>
          <w:sz w:val="24"/>
          <w:szCs w:val="24"/>
          <w:highlight w:val="none"/>
        </w:rPr>
        <w:t xml:space="preserve">承包人各执二份，具有同等效力。</w:t>
      </w:r>
      <w:r/>
    </w:p>
    <w:p>
      <w:pPr>
        <w:pStyle w:val="712"/>
        <w:ind w:left="0" w:firstLine="3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12"/>
        <w:ind w:left="0" w:righ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                           法定代表人</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ind w:left="0" w:firstLine="72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                    年    月    日</w:t>
      </w:r>
      <w:r/>
    </w:p>
    <w:p>
      <w:pPr>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left"/>
        <w:pageBreakBefore w:val="0"/>
        <w:spacing w:line="3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附件3</w:t>
      </w:r>
      <w:r/>
    </w:p>
    <w:p>
      <w:pPr>
        <w:jc w:val="center"/>
        <w:pageBreakBefore w:val="0"/>
        <w:spacing w:line="3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建设工程承发包安全管理协议</w:t>
      </w:r>
      <w:r/>
    </w:p>
    <w:p>
      <w:pPr>
        <w:ind w:firstLine="2168"/>
        <w:pageBreakBefore w:val="0"/>
        <w:spacing w:line="3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ind w:firstLine="482"/>
        <w:pageBreakBefore w:val="0"/>
        <w:spacing w:line="3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发包人（全称）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lang w:val="en-US" w:eastAsia="zh-CN"/>
        </w:rPr>
        <w:t xml:space="preserve">（简称甲方）</w:t>
      </w:r>
      <w:r/>
    </w:p>
    <w:p>
      <w:pPr>
        <w:ind w:firstLine="482"/>
        <w:pageBreakBefore w:val="0"/>
        <w:spacing w:line="38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承包人（全称）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lang w:val="en-US" w:eastAsia="zh-CN"/>
        </w:rPr>
        <w:t xml:space="preserve">（简称乙方）</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一、承包施工项目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工程名称：</w:t>
      </w:r>
      <w:r>
        <w:rPr>
          <w:rFonts w:hint="eastAsia" w:ascii="仿宋" w:hAnsi="仿宋" w:eastAsia="仿宋" w:cs="仿宋"/>
          <w:color w:val="auto"/>
          <w:sz w:val="24"/>
          <w:szCs w:val="24"/>
          <w:highlight w:val="none"/>
          <w:u w:val="singl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工程地址：</w:t>
      </w:r>
      <w:r>
        <w:rPr>
          <w:rFonts w:hint="eastAsia" w:ascii="仿宋" w:hAnsi="仿宋" w:eastAsia="仿宋" w:cs="仿宋"/>
          <w:color w:val="auto"/>
          <w:sz w:val="24"/>
          <w:szCs w:val="24"/>
          <w:highlight w:val="none"/>
          <w:u w:val="singl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二、工程项目施工期限</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按照甲乙双方合同协议书</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三、协议内容</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1、乙方必须认真贯彻国家、江苏省和上级劳动保护、安全生产主管部门颁发的有关安全生产、消防工作的方针、政策、严格执行有关劳动保护法规、条例、规定。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3、乙方在施工前要认真</w:t>
      </w:r>
      <w:r>
        <w:rPr>
          <w:rFonts w:hint="eastAsia" w:ascii="仿宋" w:hAnsi="仿宋" w:eastAsia="仿宋" w:cs="仿宋"/>
          <w:color w:val="auto"/>
          <w:sz w:val="24"/>
          <w:szCs w:val="24"/>
          <w:highlight w:val="none"/>
          <w:lang w:eastAsia="zh-CN"/>
        </w:rPr>
        <w:t xml:space="preserve">勘查现场</w:t>
      </w:r>
      <w:r>
        <w:rPr>
          <w:rFonts w:hint="eastAsia" w:ascii="仿宋" w:hAnsi="仿宋" w:eastAsia="仿宋" w:cs="仿宋"/>
          <w:color w:val="auto"/>
          <w:sz w:val="24"/>
          <w:szCs w:val="24"/>
          <w:highlight w:val="none"/>
        </w:rPr>
        <w:t xml:space="preserve">，进场后首先必须做好施工现场围护，防止闲杂人员进入施工现场，发生安全事故。</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5、甲乙双方的有关领导必须认真对本单位职工进行安全生产制度及安全技术知识教育，增强</w:t>
      </w:r>
      <w:r>
        <w:rPr>
          <w:rFonts w:hint="eastAsia" w:ascii="仿宋" w:hAnsi="仿宋" w:eastAsia="仿宋" w:cs="仿宋"/>
          <w:color w:val="auto"/>
          <w:sz w:val="24"/>
          <w:szCs w:val="24"/>
          <w:highlight w:val="none"/>
          <w:lang w:eastAsia="zh-CN"/>
        </w:rPr>
        <w:t xml:space="preserve">法治观念</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增强</w:t>
      </w:r>
      <w:r>
        <w:rPr>
          <w:rFonts w:hint="eastAsia" w:ascii="仿宋" w:hAnsi="仿宋" w:eastAsia="仿宋" w:cs="仿宋"/>
          <w:color w:val="auto"/>
          <w:sz w:val="24"/>
          <w:szCs w:val="24"/>
          <w:highlight w:val="none"/>
        </w:rPr>
        <w:t xml:space="preserve">职工的安全生产思想意识和自我保护的能力，督促职工自觉遵守安全生产纪律、制度和法规。</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7、根据工程项目内容、特点，甲乙双方应做好安全技术交底，并有交底的书面材料。</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8、交底材料一式三份，由甲乙双方和监理各执一份。</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11、在生产操作过程中的个人防护用品，由各方自理，甲乙双方都应督促施工现场人员自觉穿戴好防护用品。</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17、乙方需用甲方提供的电气设备，在使用前应先进行检测，并做好检测记录，如不符合安全规定的应及时整改，整改合格后</w:t>
      </w:r>
      <w:r>
        <w:rPr>
          <w:rFonts w:hint="eastAsia" w:ascii="仿宋" w:hAnsi="仿宋" w:eastAsia="仿宋" w:cs="仿宋"/>
          <w:color w:val="auto"/>
          <w:sz w:val="24"/>
          <w:szCs w:val="24"/>
          <w:highlight w:val="none"/>
          <w:lang w:eastAsia="zh-CN"/>
        </w:rPr>
        <w:t xml:space="preserve">方可</w:t>
      </w:r>
      <w:r>
        <w:rPr>
          <w:rFonts w:hint="eastAsia" w:ascii="仿宋" w:hAnsi="仿宋" w:eastAsia="仿宋" w:cs="仿宋"/>
          <w:color w:val="auto"/>
          <w:sz w:val="24"/>
          <w:szCs w:val="24"/>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20．本协议经立协双方签字、盖章有效。作为合同正本的附件一式四份，甲、乙双方各执二份。</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21．本协议同工程合同正本同日生效，甲、乙双方必须严格执行，由于违反本协议而造成伤亡事故，由违约方承担一切责任。</w:t>
      </w:r>
      <w:r/>
    </w:p>
    <w:p>
      <w:pPr>
        <w:ind w:firstLine="4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甲方（盖章）：                       乙方（盖章）：</w:t>
      </w:r>
      <w:r/>
    </w:p>
    <w:p>
      <w:pPr>
        <w:ind w:firstLine="468"/>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                          法定代表人</w:t>
      </w:r>
      <w:r/>
    </w:p>
    <w:p>
      <w:pPr>
        <w:ind w:firstLine="4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firstLine="4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              日期：   年   月    日</w:t>
      </w:r>
      <w:r/>
    </w:p>
    <w:p>
      <w:pPr>
        <w:jc w:val="center"/>
        <w:keepLines w:val="0"/>
        <w:keepNext w:val="0"/>
        <w:pageBreakBefore w:val="0"/>
        <w:spacing w:line="3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3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705"/>
        <w:pageBreakBefore w:val="0"/>
        <w:spacing w:line="380" w:lineRule="exact"/>
        <w:rPr>
          <w:rFonts w:hint="eastAsia"/>
          <w:color w:val="auto"/>
          <w:sz w:val="24"/>
          <w:szCs w:val="24"/>
          <w:highlight w:val="none"/>
        </w:rPr>
      </w:pPr>
      <w:r>
        <w:rPr>
          <w:rFonts w:hint="eastAsia"/>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 xml:space="preserve">第六章</w:t>
      </w:r>
      <w:r/>
    </w:p>
    <w:p>
      <w:pPr>
        <w:pStyle w:val="710"/>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0"/>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710"/>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710"/>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710"/>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12"/>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请按照以下文件的格式要求、内容、顺序制作响应文件，并请编制目录及页码，否则可能将影响对响应文件的评价。</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712"/>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897"/>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897"/>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897"/>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897"/>
        <w:numPr>
          <w:ilvl w:val="0"/>
          <w:numId w:val="7"/>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（RMB</w:t>
      </w:r>
      <w:r/>
    </w:p>
    <w:p>
      <w:pPr>
        <w:pStyle w:val="897"/>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2"/>
          <w:highlight w:val="none"/>
        </w:rPr>
        <w:t xml:space="preserve">、</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89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、我们接受招标文件的所有的条款和规定。</w:t>
      </w:r>
      <w:r/>
    </w:p>
    <w:p>
      <w:pPr>
        <w:pStyle w:val="89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89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89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89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897"/>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897"/>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897"/>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710"/>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710"/>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710"/>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24"/>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724"/>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724"/>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724"/>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701"/>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442"/>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724"/>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724"/>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724"/>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ind w:firstLine="482"/>
        <w:jc w:val="center"/>
        <w:pageBreakBefore w:val="0"/>
        <w:spacing w:line="380" w:lineRule="exact"/>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br w:type="page" w:clear="all"/>
      </w:r>
      <w:r/>
    </w:p>
    <w:p>
      <w:pPr>
        <w:numPr>
          <w:numId w:val="0"/>
        </w:numPr>
        <w:ind w:left="480"/>
        <w:jc w:val="center"/>
        <w:pageBreakBefore w:val="0"/>
        <w:spacing w:line="380" w:lineRule="exact"/>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t xml:space="preserve">三、全费用清单报价表</w:t>
      </w:r>
      <w:r/>
    </w:p>
    <w:tbl>
      <w:tblPr>
        <w:tblStyle w:val="701"/>
        <w:tblW w:w="97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434"/>
        <w:gridCol w:w="1066"/>
        <w:gridCol w:w="1100"/>
        <w:gridCol w:w="1017"/>
        <w:gridCol w:w="849"/>
        <w:gridCol w:w="849"/>
        <w:gridCol w:w="1767"/>
      </w:tblGrid>
      <w:tr>
        <w:trPr>
          <w:trHeight w:val="470"/>
        </w:trPr>
        <w:tc>
          <w:tcPr>
            <w:shd w:val="clear" w:color="auto" w:fill="auto"/>
            <w:tcW w:w="712" w:type="dxa"/>
            <w:vAlign w:val="center"/>
            <w:textDirection w:val="lrTb"/>
            <w:noWrap/>
          </w:tcPr>
          <w:p>
            <w:pPr>
              <w:jc w:val="center"/>
              <w:widowControl/>
              <w:rPr>
                <w:rFonts w:ascii="Times New Roman" w:hAnsi="Times New Roman" w:eastAsia="宋体" w:cs="Times New Roman"/>
                <w:b/>
                <w:bCs/>
                <w:szCs w:val="21"/>
              </w:rPr>
            </w:pPr>
            <w:r>
              <w:rPr>
                <w:rFonts w:hint="eastAsia" w:ascii="宋体" w:hAnsi="宋体" w:eastAsia="宋体" w:cs="Times New Roman"/>
                <w:b/>
                <w:bCs/>
                <w:szCs w:val="21"/>
              </w:rPr>
              <w:t xml:space="preserve">序号</w:t>
            </w:r>
            <w:r/>
          </w:p>
        </w:tc>
        <w:tc>
          <w:tcPr>
            <w:shd w:val="clear" w:color="auto" w:fill="auto"/>
            <w:tcW w:w="2434" w:type="dxa"/>
            <w:vAlign w:val="center"/>
            <w:textDirection w:val="lrTb"/>
            <w:noWrap/>
          </w:tcPr>
          <w:p>
            <w:pPr>
              <w:jc w:val="center"/>
              <w:widowControl/>
              <w:rPr>
                <w:rFonts w:ascii="Times New Roman" w:hAnsi="Times New Roman" w:eastAsia="宋体" w:cs="Times New Roman"/>
                <w:b/>
                <w:bCs/>
                <w:szCs w:val="21"/>
              </w:rPr>
            </w:pPr>
            <w:r>
              <w:rPr>
                <w:rFonts w:hint="eastAsia" w:ascii="宋体" w:hAnsi="宋体" w:eastAsia="宋体" w:cs="Times New Roman"/>
                <w:b/>
                <w:bCs/>
                <w:szCs w:val="21"/>
              </w:rPr>
              <w:t xml:space="preserve">工程名称</w:t>
            </w:r>
            <w:r/>
          </w:p>
        </w:tc>
        <w:tc>
          <w:tcPr>
            <w:shd w:val="clear" w:color="auto" w:fill="auto"/>
            <w:tcW w:w="1066" w:type="dxa"/>
            <w:vAlign w:val="center"/>
            <w:textDirection w:val="lrTb"/>
            <w:noWrap/>
          </w:tcPr>
          <w:p>
            <w:pPr>
              <w:jc w:val="center"/>
              <w:widowControl/>
              <w:rPr>
                <w:rFonts w:ascii="Times New Roman" w:hAnsi="Times New Roman" w:eastAsia="宋体" w:cs="Times New Roman"/>
                <w:b/>
                <w:bCs/>
                <w:szCs w:val="21"/>
              </w:rPr>
            </w:pPr>
            <w:r>
              <w:rPr>
                <w:rFonts w:hint="eastAsia" w:ascii="宋体" w:hAnsi="宋体" w:eastAsia="宋体" w:cs="Times New Roman"/>
                <w:b/>
                <w:bCs/>
                <w:szCs w:val="21"/>
              </w:rPr>
              <w:t xml:space="preserve">施工等级</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hint="eastAsia" w:ascii="宋体" w:hAnsi="宋体" w:eastAsia="宋体" w:cs="Times New Roman"/>
                <w:b/>
                <w:bCs/>
                <w:szCs w:val="21"/>
              </w:rPr>
              <w:t xml:space="preserve">计量单位</w:t>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hint="eastAsia" w:ascii="宋体" w:hAnsi="宋体" w:eastAsia="宋体" w:cs="Times New Roman"/>
                <w:b/>
                <w:bCs/>
                <w:szCs w:val="21"/>
                <w:lang w:eastAsia="zh-CN"/>
              </w:rPr>
              <w:t xml:space="preserve">工</w:t>
            </w:r>
            <w:r>
              <w:rPr>
                <w:rFonts w:hint="eastAsia" w:ascii="宋体" w:hAnsi="宋体" w:eastAsia="宋体" w:cs="Times New Roman"/>
                <w:b/>
                <w:bCs/>
                <w:szCs w:val="21"/>
              </w:rPr>
              <w:t xml:space="preserve">程量</w:t>
            </w:r>
            <w:r/>
          </w:p>
        </w:tc>
        <w:tc>
          <w:tcPr>
            <w:shd w:val="clear" w:color="auto" w:fill="auto"/>
            <w:tcW w:w="849" w:type="dxa"/>
            <w:vAlign w:val="center"/>
            <w:textDirection w:val="lrTb"/>
            <w:noWrap w:val="false"/>
          </w:tcPr>
          <w:p>
            <w:pPr>
              <w:jc w:val="center"/>
              <w:widowControl/>
              <w:rPr>
                <w:rFonts w:hint="eastAsia" w:ascii="宋体" w:hAnsi="宋体" w:eastAsia="宋体" w:cs="Times New Roman"/>
                <w:b/>
                <w:bCs/>
                <w:szCs w:val="21"/>
                <w:lang w:val="en-US" w:eastAsia="zh-CN"/>
              </w:rPr>
            </w:pPr>
            <w:r>
              <w:rPr>
                <w:rFonts w:hint="eastAsia" w:ascii="宋体" w:hAnsi="宋体" w:cs="Times New Roman"/>
                <w:b/>
                <w:bCs/>
                <w:szCs w:val="21"/>
                <w:lang w:val="en-US" w:eastAsia="zh-CN"/>
              </w:rPr>
              <w:t xml:space="preserve">单价（元）</w:t>
            </w:r>
            <w:r/>
          </w:p>
        </w:tc>
        <w:tc>
          <w:tcPr>
            <w:shd w:val="clear" w:color="auto" w:fill="auto"/>
            <w:tcW w:w="849" w:type="dxa"/>
            <w:vAlign w:val="center"/>
            <w:textDirection w:val="lrTb"/>
            <w:noWrap w:val="false"/>
          </w:tcPr>
          <w:p>
            <w:pPr>
              <w:jc w:val="center"/>
              <w:widowControl/>
              <w:rPr>
                <w:rFonts w:hint="eastAsia" w:ascii="宋体" w:hAnsi="宋体" w:eastAsia="宋体" w:cs="Times New Roman"/>
                <w:b/>
                <w:bCs/>
                <w:szCs w:val="21"/>
                <w:lang w:val="en-US" w:eastAsia="zh-CN"/>
              </w:rPr>
            </w:pPr>
            <w:r>
              <w:rPr>
                <w:rFonts w:hint="eastAsia" w:ascii="宋体" w:hAnsi="宋体" w:cs="Times New Roman"/>
                <w:b/>
                <w:bCs/>
                <w:szCs w:val="21"/>
                <w:lang w:val="en-US" w:eastAsia="zh-CN"/>
              </w:rPr>
              <w:t xml:space="preserve">合价（元</w:t>
            </w:r>
            <w:bookmarkStart w:id="640" w:name="_GoBack"/>
            <w:r/>
            <w:bookmarkEnd w:id="640"/>
            <w:r>
              <w:rPr>
                <w:rFonts w:hint="eastAsia" w:ascii="宋体" w:hAnsi="宋体" w:cs="Times New Roman"/>
                <w:b/>
                <w:bCs/>
                <w:szCs w:val="21"/>
                <w:lang w:val="en-US" w:eastAsia="zh-CN"/>
              </w:rPr>
              <w:t xml:space="preserve">）</w:t>
            </w:r>
            <w:r/>
          </w:p>
        </w:tc>
        <w:tc>
          <w:tcPr>
            <w:shd w:val="clear" w:color="auto" w:fill="auto"/>
            <w:tcW w:w="1767" w:type="dxa"/>
            <w:vAlign w:val="center"/>
            <w:textDirection w:val="lrTb"/>
            <w:noWrap w:val="false"/>
          </w:tcPr>
          <w:p>
            <w:pPr>
              <w:jc w:val="center"/>
              <w:widowControl/>
              <w:rPr>
                <w:rFonts w:ascii="Times New Roman" w:hAnsi="Times New Roman" w:eastAsia="宋体" w:cs="Times New Roman"/>
                <w:b/>
                <w:bCs/>
                <w:szCs w:val="21"/>
              </w:rPr>
            </w:pPr>
            <w:r>
              <w:rPr>
                <w:rFonts w:hint="eastAsia" w:ascii="宋体" w:hAnsi="宋体" w:eastAsia="宋体" w:cs="Times New Roman"/>
                <w:b/>
                <w:bCs/>
                <w:szCs w:val="21"/>
              </w:rPr>
              <w:t xml:space="preserve">备注</w:t>
            </w:r>
            <w:r/>
          </w:p>
        </w:tc>
      </w:tr>
      <w:tr>
        <w:trPr>
          <w:trHeight w:val="381"/>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hint="eastAsia" w:ascii="宋体" w:hAnsi="宋体" w:eastAsia="宋体" w:cs="Times New Roman"/>
                <w:b/>
                <w:bCs/>
                <w:szCs w:val="21"/>
              </w:rPr>
              <w:t xml:space="preserve">（一）分部分项工程费</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b/>
                <w:bCs/>
                <w:szCs w:val="21"/>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W w:w="849"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W w:w="849"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W w:w="176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r>
      <w:tr>
        <w:trPr>
          <w:trHeight w:val="9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ascii="Times New Roman" w:hAnsi="Times New Roman" w:eastAsia="宋体" w:cs="Times New Roman"/>
                <w:b/>
                <w:bCs/>
                <w:szCs w:val="21"/>
              </w:rPr>
              <w:t xml:space="preserve">1</w:t>
            </w:r>
            <w:r>
              <w:rPr>
                <w:rFonts w:hint="eastAsia" w:ascii="宋体" w:hAnsi="宋体" w:eastAsia="宋体" w:cs="Times New Roman"/>
                <w:b/>
                <w:bCs/>
                <w:szCs w:val="21"/>
              </w:rPr>
              <w:t xml:space="preserve">、边坡治理工程</w:t>
            </w:r>
            <w:r/>
          </w:p>
        </w:tc>
        <w:tc>
          <w:tcPr>
            <w:shd w:val="clear" w:color="auto" w:fill="auto"/>
            <w:tcW w:w="1066"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3</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ascii="Times New Roman" w:hAnsi="Times New Roman" w:eastAsia="宋体" w:cs="Times New Roman"/>
                <w:b/>
                <w:bCs/>
                <w:szCs w:val="21"/>
              </w:rPr>
              <w:t xml:space="preserve">1.1</w:t>
            </w:r>
            <w:r>
              <w:rPr>
                <w:rFonts w:hint="eastAsia" w:ascii="宋体" w:hAnsi="宋体" w:eastAsia="宋体" w:cs="Times New Roman"/>
                <w:b/>
                <w:bCs/>
                <w:szCs w:val="21"/>
              </w:rPr>
              <w:t xml:space="preserve">土石方工程</w:t>
            </w:r>
            <w:r/>
          </w:p>
        </w:tc>
        <w:tc>
          <w:tcPr>
            <w:shd w:val="clear" w:color="auto" w:fill="auto"/>
            <w:tcW w:w="1066"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4</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w:t>
            </w:r>
            <w:r>
              <w:rPr>
                <w:rFonts w:ascii="Times New Roman" w:hAnsi="Times New Roman" w:eastAsia="宋体" w:cs="Times New Roman"/>
                <w:szCs w:val="21"/>
                <w:highlight w:val="none"/>
              </w:rPr>
              <w:t xml:space="preserve">1</w:t>
            </w:r>
            <w:r>
              <w:rPr>
                <w:rFonts w:hint="eastAsia" w:ascii="宋体" w:hAnsi="宋体" w:eastAsia="宋体" w:cs="Times New Roman"/>
                <w:szCs w:val="21"/>
                <w:highlight w:val="none"/>
              </w:rPr>
              <w:t xml:space="preserve">）机械削坡降坡</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3</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1164.8</w:t>
            </w:r>
            <w:r/>
          </w:p>
        </w:tc>
        <w:tc>
          <w:tcPr>
            <w:shd w:val="clear" w:color="auto" w:fill="auto"/>
            <w:tcW w:w="84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84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1767"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A5-1区机械削坡</w:t>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5</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w:t>
            </w:r>
            <w:r>
              <w:rPr>
                <w:rFonts w:ascii="Times New Roman" w:hAnsi="Times New Roman" w:eastAsia="宋体" w:cs="Times New Roman"/>
                <w:szCs w:val="21"/>
                <w:highlight w:val="none"/>
              </w:rPr>
              <w:t xml:space="preserve">2</w:t>
            </w:r>
            <w:r>
              <w:rPr>
                <w:rFonts w:hint="eastAsia" w:ascii="宋体" w:hAnsi="宋体" w:eastAsia="宋体" w:cs="Times New Roman"/>
                <w:szCs w:val="21"/>
                <w:highlight w:val="none"/>
              </w:rPr>
              <w:t xml:space="preserve">）人工削坡</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3</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2312.1</w:t>
            </w:r>
            <w:r/>
          </w:p>
        </w:tc>
        <w:tc>
          <w:tcPr>
            <w:shd w:val="clear" w:color="auto" w:fill="auto"/>
            <w:tcW w:w="84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shd w:val="clear" w:color="auto" w:fill="auto"/>
            <w:tcW w:w="84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清除</w:t>
            </w:r>
            <w:r>
              <w:rPr>
                <w:rFonts w:ascii="Times New Roman" w:hAnsi="Times New Roman" w:eastAsia="宋体" w:cs="Times New Roman"/>
                <w:szCs w:val="21"/>
              </w:rPr>
              <w:t xml:space="preserve">A4-1</w:t>
            </w:r>
            <w:r>
              <w:rPr>
                <w:rFonts w:hint="eastAsia" w:ascii="宋体" w:hAnsi="宋体" w:eastAsia="宋体" w:cs="Times New Roman"/>
                <w:szCs w:val="21"/>
              </w:rPr>
              <w:t xml:space="preserve">、</w:t>
            </w:r>
            <w:r>
              <w:rPr>
                <w:rFonts w:ascii="Times New Roman" w:hAnsi="Times New Roman" w:eastAsia="宋体" w:cs="Times New Roman"/>
                <w:szCs w:val="21"/>
              </w:rPr>
              <w:t xml:space="preserve">A5-2</w:t>
            </w:r>
            <w:r>
              <w:rPr>
                <w:rFonts w:hint="eastAsia" w:ascii="宋体" w:hAnsi="宋体" w:eastAsia="宋体" w:cs="Times New Roman"/>
                <w:szCs w:val="21"/>
              </w:rPr>
              <w:t xml:space="preserve">、</w:t>
            </w:r>
            <w:r>
              <w:rPr>
                <w:rFonts w:ascii="Times New Roman" w:hAnsi="Times New Roman" w:eastAsia="宋体" w:cs="Times New Roman"/>
                <w:szCs w:val="21"/>
              </w:rPr>
              <w:t xml:space="preserve">A1</w:t>
            </w:r>
            <w:r>
              <w:rPr>
                <w:rFonts w:hint="eastAsia" w:ascii="宋体" w:hAnsi="宋体" w:eastAsia="宋体" w:cs="Times New Roman"/>
                <w:szCs w:val="21"/>
              </w:rPr>
              <w:t xml:space="preserve">区坡面危岩体</w:t>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6</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w:t>
            </w:r>
            <w:r>
              <w:rPr>
                <w:rFonts w:ascii="Times New Roman" w:hAnsi="Times New Roman" w:eastAsia="宋体" w:cs="Times New Roman"/>
                <w:szCs w:val="21"/>
                <w:highlight w:val="none"/>
              </w:rPr>
              <w:t xml:space="preserve">3</w:t>
            </w:r>
            <w:r>
              <w:rPr>
                <w:rFonts w:hint="eastAsia" w:ascii="宋体" w:hAnsi="宋体" w:eastAsia="宋体" w:cs="Times New Roman"/>
                <w:szCs w:val="21"/>
                <w:highlight w:val="none"/>
              </w:rPr>
              <w:t xml:space="preserve">）清坡</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2</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21008.8</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A</w:t>
            </w:r>
            <w:r>
              <w:rPr>
                <w:rFonts w:hint="eastAsia" w:ascii="宋体" w:hAnsi="宋体" w:eastAsia="宋体" w:cs="Times New Roman"/>
                <w:szCs w:val="21"/>
              </w:rPr>
              <w:t xml:space="preserve">区人工</w:t>
            </w:r>
            <w:r/>
          </w:p>
        </w:tc>
      </w:tr>
      <w:tr>
        <w:trPr>
          <w:trHeight w:val="55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7</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w:t>
            </w:r>
            <w:r>
              <w:rPr>
                <w:rFonts w:ascii="Times New Roman" w:hAnsi="Times New Roman" w:eastAsia="宋体" w:cs="Times New Roman"/>
                <w:szCs w:val="21"/>
                <w:highlight w:val="none"/>
              </w:rPr>
              <w:t xml:space="preserve">4</w:t>
            </w:r>
            <w:r>
              <w:rPr>
                <w:rFonts w:hint="eastAsia" w:ascii="宋体" w:hAnsi="宋体" w:eastAsia="宋体" w:cs="Times New Roman"/>
                <w:szCs w:val="21"/>
                <w:highlight w:val="none"/>
              </w:rPr>
              <w:t xml:space="preserve">）汽车运土石</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3</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3476.8</w:t>
            </w:r>
            <w:r/>
          </w:p>
        </w:tc>
        <w:tc>
          <w:tcPr>
            <w:shd w:val="clear" w:color="auto" w:fill="auto"/>
            <w:tcW w:w="84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shd w:val="clear" w:color="auto" w:fill="auto"/>
            <w:tcW w:w="84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剩余土方堆积在坡脚，运距＜</w:t>
            </w:r>
            <w:r>
              <w:rPr>
                <w:rFonts w:ascii="Times New Roman" w:hAnsi="Times New Roman" w:eastAsia="宋体" w:cs="Times New Roman"/>
                <w:szCs w:val="21"/>
              </w:rPr>
              <w:t xml:space="preserve">1km</w:t>
            </w:r>
            <w:r>
              <w:rPr>
                <w:rFonts w:hint="eastAsia" w:ascii="宋体" w:hAnsi="宋体" w:eastAsia="宋体" w:cs="Times New Roman"/>
                <w:szCs w:val="21"/>
              </w:rPr>
              <w:t xml:space="preserve">，含装车</w:t>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8</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 xml:space="preserve">1.2</w:t>
            </w:r>
            <w:r>
              <w:rPr>
                <w:rFonts w:hint="eastAsia" w:ascii="宋体" w:hAnsi="宋体" w:eastAsia="宋体" w:cs="Times New Roman"/>
                <w:b/>
                <w:bCs/>
                <w:szCs w:val="21"/>
                <w:highlight w:val="none"/>
              </w:rPr>
              <w:t xml:space="preserve">边坡防护</w:t>
            </w:r>
            <w:r/>
          </w:p>
        </w:tc>
        <w:tc>
          <w:tcPr>
            <w:shd w:val="clear" w:color="auto" w:fill="auto"/>
            <w:tcW w:w="1066" w:type="dxa"/>
            <w:vAlign w:val="center"/>
            <w:textDirection w:val="lrTb"/>
            <w:noWrap w:val="false"/>
          </w:tcPr>
          <w:p>
            <w:pPr>
              <w:jc w:val="center"/>
              <w:widowControl/>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9</w:t>
            </w:r>
            <w:r/>
          </w:p>
        </w:tc>
        <w:tc>
          <w:tcPr>
            <w:shd w:val="clear" w:color="auto" w:fill="auto"/>
            <w:tcW w:w="243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（1）主动防护网</w:t>
            </w:r>
            <w:r/>
          </w:p>
        </w:tc>
        <w:tc>
          <w:tcPr>
            <w:shd w:val="clear" w:color="auto" w:fill="auto"/>
            <w:tcW w:w="1066" w:type="dxa"/>
            <w:vAlign w:val="center"/>
            <w:textDirection w:val="lrTb"/>
            <w:noWrap/>
          </w:tcPr>
          <w:p>
            <w:pPr>
              <w:jc w:val="center"/>
              <w:widowControl/>
              <w:rPr>
                <w:rFonts w:hint="eastAsia"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2</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1387.1</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A4-1</w:t>
            </w:r>
            <w:r>
              <w:rPr>
                <w:rFonts w:hint="eastAsia" w:ascii="宋体" w:hAnsi="宋体" w:eastAsia="宋体" w:cs="Times New Roman"/>
                <w:szCs w:val="21"/>
              </w:rPr>
              <w:t xml:space="preserve">、</w:t>
            </w:r>
            <w:r>
              <w:rPr>
                <w:rFonts w:ascii="Times New Roman" w:hAnsi="Times New Roman" w:eastAsia="宋体" w:cs="Times New Roman"/>
                <w:szCs w:val="21"/>
              </w:rPr>
              <w:t xml:space="preserve">A5-2</w:t>
            </w:r>
            <w:r>
              <w:rPr>
                <w:rFonts w:hint="eastAsia" w:ascii="宋体" w:hAnsi="宋体" w:eastAsia="宋体" w:cs="Times New Roman"/>
                <w:szCs w:val="21"/>
              </w:rPr>
              <w:t xml:space="preserve">区</w:t>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10</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w:t>
            </w:r>
            <w:r>
              <w:rPr>
                <w:rFonts w:ascii="Times New Roman" w:hAnsi="Times New Roman" w:eastAsia="宋体" w:cs="Times New Roman"/>
                <w:szCs w:val="21"/>
                <w:highlight w:val="none"/>
              </w:rPr>
              <w:t xml:space="preserve">2</w:t>
            </w:r>
            <w:r>
              <w:rPr>
                <w:rFonts w:hint="eastAsia" w:ascii="宋体" w:hAnsi="宋体" w:eastAsia="宋体" w:cs="Times New Roman"/>
                <w:szCs w:val="21"/>
                <w:highlight w:val="none"/>
              </w:rPr>
              <w:t xml:space="preserve">）浆砌块石挡墙</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3</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33.6</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A4-1</w:t>
            </w:r>
            <w:r>
              <w:rPr>
                <w:rFonts w:hint="eastAsia" w:ascii="宋体" w:hAnsi="宋体" w:eastAsia="宋体" w:cs="Times New Roman"/>
                <w:szCs w:val="21"/>
              </w:rPr>
              <w:t xml:space="preserve">、</w:t>
            </w:r>
            <w:r>
              <w:rPr>
                <w:rFonts w:ascii="Times New Roman" w:hAnsi="Times New Roman" w:eastAsia="宋体" w:cs="Times New Roman"/>
                <w:szCs w:val="21"/>
              </w:rPr>
              <w:t xml:space="preserve">A5-1</w:t>
            </w:r>
            <w:r>
              <w:rPr>
                <w:rFonts w:hint="eastAsia" w:ascii="宋体" w:hAnsi="宋体" w:eastAsia="宋体" w:cs="Times New Roman"/>
                <w:szCs w:val="21"/>
              </w:rPr>
              <w:t xml:space="preserve">、</w:t>
            </w:r>
            <w:r>
              <w:rPr>
                <w:rFonts w:ascii="Times New Roman" w:hAnsi="Times New Roman" w:eastAsia="宋体" w:cs="Times New Roman"/>
                <w:szCs w:val="21"/>
              </w:rPr>
              <w:t xml:space="preserve">A5-2</w:t>
            </w:r>
            <w:r>
              <w:rPr>
                <w:rFonts w:hint="eastAsia" w:ascii="宋体" w:hAnsi="宋体" w:eastAsia="宋体" w:cs="Times New Roman"/>
                <w:szCs w:val="21"/>
              </w:rPr>
              <w:t xml:space="preserve">区，挡墙高</w:t>
            </w:r>
            <w:r>
              <w:rPr>
                <w:rFonts w:ascii="Times New Roman" w:hAnsi="Times New Roman" w:eastAsia="宋体" w:cs="Times New Roman"/>
                <w:szCs w:val="21"/>
              </w:rPr>
              <w:t xml:space="preserve">0.5m</w:t>
            </w:r>
            <w:r>
              <w:rPr>
                <w:rFonts w:hint="eastAsia" w:ascii="宋体" w:hAnsi="宋体" w:eastAsia="宋体" w:cs="Times New Roman"/>
                <w:szCs w:val="21"/>
              </w:rPr>
              <w:t xml:space="preserve">、宽</w:t>
            </w:r>
            <w:r>
              <w:rPr>
                <w:rFonts w:ascii="Times New Roman" w:hAnsi="Times New Roman" w:eastAsia="宋体" w:cs="Times New Roman"/>
                <w:szCs w:val="21"/>
              </w:rPr>
              <w:t xml:space="preserve">0.5m</w:t>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11</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ascii="Times New Roman" w:hAnsi="Times New Roman" w:eastAsia="宋体" w:cs="Times New Roman"/>
                <w:b/>
                <w:bCs/>
                <w:szCs w:val="21"/>
              </w:rPr>
              <w:t xml:space="preserve">1.3</w:t>
            </w:r>
            <w:r>
              <w:rPr>
                <w:rFonts w:hint="eastAsia" w:ascii="宋体" w:hAnsi="宋体" w:eastAsia="宋体" w:cs="Times New Roman"/>
                <w:b/>
                <w:bCs/>
                <w:szCs w:val="21"/>
              </w:rPr>
              <w:t xml:space="preserve">边坡植被恢复工程</w:t>
            </w:r>
            <w:r/>
          </w:p>
        </w:tc>
        <w:tc>
          <w:tcPr>
            <w:shd w:val="clear" w:color="auto" w:fill="auto"/>
            <w:tcW w:w="1066" w:type="dxa"/>
            <w:vAlign w:val="center"/>
            <w:textDirection w:val="lrTb"/>
            <w:noWrap w:val="false"/>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9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12</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w:t>
            </w:r>
            <w:r>
              <w:rPr>
                <w:rFonts w:ascii="Times New Roman" w:hAnsi="Times New Roman" w:eastAsia="宋体" w:cs="Times New Roman"/>
                <w:szCs w:val="21"/>
                <w:highlight w:val="none"/>
              </w:rPr>
              <w:t xml:space="preserve">1</w:t>
            </w:r>
            <w:r>
              <w:rPr>
                <w:rFonts w:hint="eastAsia" w:ascii="宋体" w:hAnsi="宋体" w:eastAsia="宋体" w:cs="Times New Roman"/>
                <w:szCs w:val="21"/>
                <w:highlight w:val="none"/>
              </w:rPr>
              <w:t xml:space="preserve">）挂网客土喷播</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2</w:t>
            </w:r>
            <w:r/>
          </w:p>
        </w:tc>
        <w:tc>
          <w:tcPr>
            <w:shd w:val="clear" w:color="auto" w:fill="auto"/>
            <w:tcW w:w="1017"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765.0</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A5-1</w:t>
            </w:r>
            <w:r>
              <w:rPr>
                <w:rFonts w:hint="eastAsia" w:ascii="宋体" w:hAnsi="宋体" w:eastAsia="宋体" w:cs="Times New Roman"/>
                <w:szCs w:val="21"/>
              </w:rPr>
              <w:t xml:space="preserve">区</w:t>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13</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w:t>
            </w:r>
            <w:r>
              <w:rPr>
                <w:rFonts w:ascii="Times New Roman" w:hAnsi="Times New Roman" w:eastAsia="宋体" w:cs="Times New Roman"/>
                <w:szCs w:val="21"/>
                <w:highlight w:val="none"/>
              </w:rPr>
              <w:t xml:space="preserve">2</w:t>
            </w:r>
            <w:r>
              <w:rPr>
                <w:rFonts w:hint="eastAsia" w:ascii="宋体" w:hAnsi="宋体" w:eastAsia="宋体" w:cs="Times New Roman"/>
                <w:szCs w:val="21"/>
                <w:highlight w:val="none"/>
              </w:rPr>
              <w:t xml:space="preserve">）坡脚种植爬藤</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株</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214.0</w:t>
            </w:r>
            <w:r/>
          </w:p>
        </w:tc>
        <w:tc>
          <w:tcPr>
            <w:shd w:val="clear" w:color="auto" w:fill="auto"/>
            <w:tcW w:w="84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84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1767"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含挖穴、填土</w:t>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14</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ascii="Times New Roman" w:hAnsi="Times New Roman" w:eastAsia="宋体" w:cs="Times New Roman"/>
                <w:b/>
                <w:bCs/>
                <w:szCs w:val="21"/>
              </w:rPr>
              <w:t xml:space="preserve">1.5</w:t>
            </w:r>
            <w:r>
              <w:rPr>
                <w:rFonts w:hint="eastAsia" w:ascii="宋体" w:hAnsi="宋体" w:eastAsia="宋体" w:cs="Times New Roman"/>
                <w:b/>
                <w:bCs/>
                <w:szCs w:val="21"/>
              </w:rPr>
              <w:t xml:space="preserve">边坡植被养护工程</w:t>
            </w:r>
            <w:r/>
          </w:p>
        </w:tc>
        <w:tc>
          <w:tcPr>
            <w:shd w:val="clear" w:color="auto" w:fill="auto"/>
            <w:tcW w:w="1066"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15</w:t>
            </w:r>
            <w:r/>
          </w:p>
        </w:tc>
        <w:tc>
          <w:tcPr>
            <w:shd w:val="clear" w:color="auto" w:fill="auto"/>
            <w:tcW w:w="243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草本藤本养护</w:t>
            </w:r>
            <w:r/>
          </w:p>
        </w:tc>
        <w:tc>
          <w:tcPr>
            <w:shd w:val="clear" w:color="auto" w:fill="auto"/>
            <w:tcW w:w="1066" w:type="dxa"/>
            <w:vAlign w:val="center"/>
            <w:textDirection w:val="lrTb"/>
            <w:noWrap/>
          </w:tcPr>
          <w:p>
            <w:pPr>
              <w:jc w:val="center"/>
              <w:widowControl/>
              <w:rPr>
                <w:rFonts w:hint="eastAsia"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2</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786.4</w:t>
            </w:r>
            <w:r/>
          </w:p>
        </w:tc>
        <w:tc>
          <w:tcPr>
            <w:shd w:val="clear" w:color="auto" w:fill="auto"/>
            <w:tcW w:w="84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84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1767"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含养护期养护费用</w:t>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16</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ascii="Times New Roman" w:hAnsi="Times New Roman" w:eastAsia="宋体" w:cs="Times New Roman"/>
                <w:b/>
                <w:bCs/>
                <w:szCs w:val="21"/>
              </w:rPr>
              <w:t xml:space="preserve">2</w:t>
            </w:r>
            <w:r>
              <w:rPr>
                <w:rFonts w:hint="eastAsia" w:ascii="宋体" w:hAnsi="宋体" w:eastAsia="宋体" w:cs="Times New Roman"/>
                <w:b/>
                <w:bCs/>
                <w:szCs w:val="21"/>
              </w:rPr>
              <w:t xml:space="preserve">、废弃地治理工程</w:t>
            </w:r>
            <w:r/>
          </w:p>
        </w:tc>
        <w:tc>
          <w:tcPr>
            <w:shd w:val="clear" w:color="auto" w:fill="auto"/>
            <w:tcW w:w="1066"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17</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ascii="Times New Roman" w:hAnsi="Times New Roman" w:eastAsia="宋体" w:cs="Times New Roman"/>
                <w:b/>
                <w:bCs/>
                <w:szCs w:val="21"/>
              </w:rPr>
              <w:t xml:space="preserve">2.4</w:t>
            </w:r>
            <w:r>
              <w:rPr>
                <w:rFonts w:hint="eastAsia" w:ascii="宋体" w:hAnsi="宋体" w:eastAsia="宋体" w:cs="Times New Roman"/>
                <w:b/>
                <w:bCs/>
                <w:szCs w:val="21"/>
              </w:rPr>
              <w:t xml:space="preserve">安装工程</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Ⅲ级</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18</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rPr>
            </w:pPr>
            <w:r>
              <w:rPr>
                <w:rFonts w:hint="eastAsia" w:ascii="宋体" w:hAnsi="宋体" w:eastAsia="宋体" w:cs="Times New Roman"/>
                <w:szCs w:val="21"/>
              </w:rPr>
              <w:t xml:space="preserve">（</w:t>
            </w:r>
            <w:r>
              <w:rPr>
                <w:rFonts w:ascii="Times New Roman" w:hAnsi="Times New Roman" w:eastAsia="宋体" w:cs="Times New Roman"/>
                <w:szCs w:val="21"/>
              </w:rPr>
              <w:t xml:space="preserve">1</w:t>
            </w:r>
            <w:r>
              <w:rPr>
                <w:rFonts w:hint="eastAsia" w:ascii="宋体" w:hAnsi="宋体" w:eastAsia="宋体" w:cs="Times New Roman"/>
                <w:szCs w:val="21"/>
              </w:rPr>
              <w:t xml:space="preserve">）</w:t>
            </w:r>
            <w:r>
              <w:rPr>
                <w:rFonts w:ascii="Times New Roman" w:hAnsi="Times New Roman" w:eastAsia="宋体" w:cs="Times New Roman"/>
                <w:szCs w:val="21"/>
              </w:rPr>
              <w:t xml:space="preserve">A3</w:t>
            </w:r>
            <w:r>
              <w:rPr>
                <w:rFonts w:hint="eastAsia" w:ascii="宋体" w:hAnsi="宋体" w:eastAsia="宋体" w:cs="Times New Roman"/>
                <w:szCs w:val="21"/>
              </w:rPr>
              <w:t xml:space="preserve">区坡顶、底护栏安装</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Ⅲ级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47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19</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①基础开挖</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Ⅲ级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3</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23.0</w:t>
            </w:r>
            <w:r/>
          </w:p>
        </w:tc>
        <w:tc>
          <w:tcPr>
            <w:shd w:val="clear" w:color="auto" w:fill="auto"/>
            <w:tcW w:w="84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84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1767"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按人工挖石方计算</w:t>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20</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②基础</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Ⅲ级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3</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23.0</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C30</w:t>
            </w:r>
            <w:r>
              <w:rPr>
                <w:rFonts w:hint="eastAsia" w:ascii="宋体" w:hAnsi="宋体" w:eastAsia="宋体" w:cs="Times New Roman"/>
                <w:szCs w:val="21"/>
              </w:rPr>
              <w:t xml:space="preserve">商品混凝土；包含模板、钢筋</w:t>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21</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③滚笼防护栏</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Ⅲ级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271.0</w:t>
            </w:r>
            <w:r/>
          </w:p>
        </w:tc>
        <w:tc>
          <w:tcPr>
            <w:shd w:val="clear" w:color="auto" w:fill="auto"/>
            <w:tcW w:w="84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shd w:val="clear" w:color="auto" w:fill="auto"/>
            <w:tcW w:w="84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更换旧的防护网，增加防护栏长度</w:t>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22</w:t>
            </w:r>
            <w:r/>
          </w:p>
        </w:tc>
        <w:tc>
          <w:tcPr>
            <w:shd w:val="clear" w:color="auto" w:fill="auto"/>
            <w:tcW w:w="2434"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（2）宣传碑、宣传牌</w:t>
            </w:r>
            <w:r/>
          </w:p>
        </w:tc>
        <w:tc>
          <w:tcPr>
            <w:shd w:val="clear" w:color="auto" w:fill="auto"/>
            <w:tcW w:w="1066" w:type="dxa"/>
            <w:vAlign w:val="center"/>
            <w:textDirection w:val="lrTb"/>
            <w:noWrap/>
          </w:tcPr>
          <w:p>
            <w:pPr>
              <w:jc w:val="center"/>
              <w:widowControl/>
              <w:rPr>
                <w:rFonts w:hint="eastAsia" w:ascii="Times New Roman" w:hAnsi="Times New Roman" w:eastAsia="宋体" w:cs="Times New Roman"/>
                <w:szCs w:val="21"/>
              </w:rPr>
            </w:pPr>
            <w:r>
              <w:rPr>
                <w:rFonts w:ascii="Times New Roman" w:hAnsi="Times New Roman" w:eastAsia="宋体" w:cs="Times New Roman"/>
                <w:szCs w:val="21"/>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23</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①宣传碑</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3</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1.0</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24</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②宣传牌</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t</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1.0</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25</w:t>
            </w:r>
            <w:r/>
          </w:p>
        </w:tc>
        <w:tc>
          <w:tcPr>
            <w:shd w:val="clear" w:color="auto" w:fill="auto"/>
            <w:tcW w:w="243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（3）警示牌</w:t>
            </w:r>
            <w:r/>
          </w:p>
        </w:tc>
        <w:tc>
          <w:tcPr>
            <w:shd w:val="clear" w:color="auto" w:fill="auto"/>
            <w:tcW w:w="1066" w:type="dxa"/>
            <w:vAlign w:val="center"/>
            <w:textDirection w:val="lrTb"/>
            <w:noWrap/>
          </w:tcPr>
          <w:p>
            <w:pPr>
              <w:jc w:val="center"/>
              <w:widowControl/>
              <w:rPr>
                <w:rFonts w:hint="eastAsia"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个</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26</w:t>
            </w:r>
            <w:r/>
          </w:p>
        </w:tc>
        <w:tc>
          <w:tcPr>
            <w:shd w:val="clear" w:color="auto" w:fill="auto"/>
            <w:tcW w:w="243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（4）围挡</w:t>
            </w:r>
            <w:r/>
          </w:p>
        </w:tc>
        <w:tc>
          <w:tcPr>
            <w:shd w:val="clear" w:color="auto" w:fill="auto"/>
            <w:tcW w:w="1066" w:type="dxa"/>
            <w:vAlign w:val="center"/>
            <w:textDirection w:val="lrTb"/>
            <w:noWrap/>
          </w:tcPr>
          <w:p>
            <w:pPr>
              <w:jc w:val="center"/>
              <w:widowControl/>
              <w:rPr>
                <w:rFonts w:hint="eastAsia" w:ascii="Times New Roman" w:hAnsi="Times New Roman" w:eastAsia="宋体" w:cs="Times New Roman"/>
                <w:szCs w:val="21"/>
                <w:highlight w:val="none"/>
              </w:rPr>
            </w:pPr>
            <w:r>
              <w:rPr>
                <w:rFonts w:hint="eastAsia" w:ascii="宋体" w:hAnsi="宋体" w:eastAsia="宋体" w:cs="Times New Roman"/>
                <w:szCs w:val="21"/>
                <w:highlight w:val="none"/>
              </w:rPr>
              <w:t xml:space="preserve">Ⅲ级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2</w:t>
            </w:r>
            <w:r/>
          </w:p>
        </w:tc>
        <w:tc>
          <w:tcPr>
            <w:shd w:val="clear" w:color="auto" w:fill="auto"/>
            <w:tcW w:w="1017"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580</w:t>
            </w:r>
            <w:r/>
          </w:p>
        </w:tc>
        <w:tc>
          <w:tcPr>
            <w:shd w:val="clear" w:color="auto" w:fill="auto"/>
            <w:tcW w:w="84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shd w:val="clear" w:color="auto" w:fill="auto"/>
            <w:tcW w:w="84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高</w:t>
            </w:r>
            <w:r>
              <w:rPr>
                <w:rFonts w:ascii="Times New Roman" w:hAnsi="Times New Roman" w:eastAsia="宋体" w:cs="Times New Roman"/>
                <w:szCs w:val="21"/>
              </w:rPr>
              <w:t xml:space="preserve">2m</w:t>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27</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hint="eastAsia" w:ascii="宋体" w:hAnsi="宋体" w:eastAsia="宋体" w:cs="Times New Roman"/>
                <w:b/>
                <w:bCs/>
                <w:szCs w:val="21"/>
              </w:rPr>
              <w:t xml:space="preserve">（二）措施费</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Ⅱ级</w:t>
            </w:r>
            <w:r/>
          </w:p>
        </w:tc>
        <w:tc>
          <w:tcPr>
            <w:shd w:val="clear" w:color="auto" w:fill="auto"/>
            <w:tcBorders>
              <w:bottom w:val="single" w:color="000000" w:sz="4" w:space="0"/>
            </w:tcBorders>
            <w:tcW w:w="1100"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b/>
                <w:bCs/>
                <w:szCs w:val="21"/>
              </w:rPr>
              <w:t xml:space="preserve">　</w:t>
            </w:r>
            <w:r/>
          </w:p>
        </w:tc>
        <w:tc>
          <w:tcPr>
            <w:shd w:val="clear" w:color="auto" w:fill="auto"/>
            <w:tcBorders>
              <w:bottom w:val="single" w:color="000000" w:sz="4" w:space="0"/>
            </w:tcBorders>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Borders>
              <w:bottom w:val="single" w:color="000000" w:sz="4" w:space="0"/>
            </w:tcBorders>
            <w:tcW w:w="849"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Borders>
              <w:bottom w:val="single" w:color="000000" w:sz="4" w:space="0"/>
            </w:tcBorders>
            <w:tcW w:w="849"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Borders>
              <w:bottom w:val="single" w:color="000000" w:sz="4" w:space="0"/>
            </w:tcBorders>
            <w:tcW w:w="176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28</w:t>
            </w:r>
            <w:r/>
          </w:p>
        </w:tc>
        <w:tc>
          <w:tcPr>
            <w:shd w:val="clear" w:color="auto" w:fill="auto"/>
            <w:tcW w:w="2434"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1、施工措施费</w:t>
            </w:r>
            <w:r/>
          </w:p>
        </w:tc>
        <w:tc>
          <w:tcPr>
            <w:shd w:val="clear" w:color="auto" w:fill="auto"/>
            <w:tcBorders>
              <w:right w:val="single" w:color="000000" w:sz="4" w:space="0"/>
            </w:tcBorders>
            <w:tcW w:w="1066" w:type="dxa"/>
            <w:vAlign w:val="center"/>
            <w:textDirection w:val="lrTb"/>
            <w:noWrap/>
          </w:tcPr>
          <w:p>
            <w:pPr>
              <w:jc w:val="center"/>
              <w:widowControl/>
              <w:rPr>
                <w:rFonts w:hint="eastAsia" w:ascii="Times New Roman" w:hAnsi="Times New Roman" w:eastAsia="宋体" w:cs="Times New Roman"/>
                <w:szCs w:val="21"/>
              </w:rPr>
            </w:pPr>
            <w:r>
              <w:rPr>
                <w:rFonts w:hint="eastAsia" w:ascii="宋体" w:hAnsi="宋体" w:eastAsia="宋体" w:cs="Times New Roman"/>
                <w:szCs w:val="21"/>
              </w:rPr>
              <w:t xml:space="preserve">Ⅲ级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tcPr>
          <w:p>
            <w:pPr>
              <w:jc w:val="center"/>
              <w:widowControl/>
              <w:rPr>
                <w:rFonts w:hint="eastAsia" w:ascii="Times New Roman" w:hAnsi="Times New Roman" w:eastAsia="宋体" w:cs="Times New Roman"/>
                <w:b/>
                <w:bCs/>
                <w:szCs w:val="21"/>
              </w:rPr>
            </w:pPr>
            <w:r>
              <w:rPr>
                <w:rFonts w:hint="eastAsia" w:ascii="Times New Roman" w:hAnsi="Times New Roman" w:eastAsia="宋体" w:cs="Times New Roman"/>
                <w:b/>
                <w:bCs/>
                <w:szCs w:val="21"/>
              </w:rPr>
              <w:t xml:space="preserve">（一）</w:t>
            </w:r>
            <w:r>
              <w:rPr>
                <w:rFonts w:ascii="Times New Roman" w:hAnsi="Times New Roman" w:eastAsia="宋体" w:cs="Times New Roman"/>
                <w:b/>
                <w:bCs/>
                <w:szCs w:val="21"/>
              </w:rPr>
              <w:t xml:space="preserve">×3.32%</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9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29</w:t>
            </w:r>
            <w:r/>
          </w:p>
        </w:tc>
        <w:tc>
          <w:tcPr>
            <w:shd w:val="clear" w:color="auto" w:fill="auto"/>
            <w:tcW w:w="2434" w:type="dxa"/>
            <w:vAlign w:val="center"/>
            <w:textDirection w:val="lrTb"/>
            <w:noWrap w:val="false"/>
          </w:tcPr>
          <w:p>
            <w:pPr>
              <w:jc w:val="left"/>
              <w:widowControl/>
              <w:rPr>
                <w:rFonts w:ascii="Times New Roman" w:hAnsi="Times New Roman" w:eastAsia="宋体" w:cs="Times New Roman"/>
                <w:szCs w:val="21"/>
              </w:rPr>
            </w:pPr>
            <w:r>
              <w:rPr>
                <w:rFonts w:ascii="Times New Roman" w:hAnsi="Times New Roman" w:eastAsia="宋体" w:cs="Times New Roman"/>
                <w:szCs w:val="21"/>
              </w:rPr>
              <w:t xml:space="preserve">2</w:t>
            </w:r>
            <w:r>
              <w:rPr>
                <w:rFonts w:hint="eastAsia" w:ascii="宋体" w:hAnsi="宋体" w:eastAsia="宋体" w:cs="Times New Roman"/>
                <w:szCs w:val="21"/>
              </w:rPr>
              <w:t xml:space="preserve">、环保费增加</w:t>
            </w:r>
            <w:r/>
          </w:p>
        </w:tc>
        <w:tc>
          <w:tcPr>
            <w:shd w:val="clear" w:color="auto" w:fill="auto"/>
            <w:tcBorders>
              <w:right w:val="single" w:color="000000" w:sz="4" w:space="0"/>
            </w:tcBorders>
            <w:tcW w:w="1066"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Ⅲ级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tcPr>
          <w:p>
            <w:pPr>
              <w:jc w:val="center"/>
              <w:widowControl/>
              <w:rPr>
                <w:rFonts w:hint="eastAsia" w:ascii="Times New Roman" w:hAnsi="Times New Roman" w:eastAsia="宋体" w:cs="Times New Roman"/>
                <w:b/>
                <w:bCs/>
                <w:szCs w:val="21"/>
              </w:rPr>
            </w:pPr>
            <w:r>
              <w:rPr>
                <w:rFonts w:hint="eastAsia" w:ascii="Times New Roman" w:hAnsi="Times New Roman" w:eastAsia="宋体" w:cs="Times New Roman"/>
                <w:b/>
                <w:bCs/>
                <w:szCs w:val="21"/>
              </w:rPr>
              <w:t xml:space="preserve">（一）</w:t>
            </w:r>
            <w:r>
              <w:rPr>
                <w:rFonts w:ascii="Times New Roman" w:hAnsi="Times New Roman" w:eastAsia="宋体" w:cs="Times New Roman"/>
                <w:b/>
                <w:bCs/>
                <w:szCs w:val="21"/>
              </w:rPr>
              <w:t xml:space="preserve">×</w:t>
            </w:r>
            <w:r>
              <w:rPr>
                <w:rFonts w:hint="eastAsia" w:ascii="Times New Roman" w:hAnsi="Times New Roman" w:eastAsia="宋体" w:cs="Times New Roman"/>
                <w:b/>
                <w:bCs/>
                <w:szCs w:val="21"/>
              </w:rPr>
              <w:t xml:space="preserve">10</w:t>
            </w:r>
            <w:r>
              <w:rPr>
                <w:rFonts w:ascii="Times New Roman" w:hAnsi="Times New Roman" w:eastAsia="宋体" w:cs="Times New Roman"/>
                <w:b/>
                <w:bCs/>
                <w:szCs w:val="21"/>
              </w:rPr>
              <w:t xml:space="preserve">%</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30</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hint="eastAsia" w:ascii="宋体" w:hAnsi="宋体" w:eastAsia="宋体" w:cs="Times New Roman"/>
                <w:b/>
                <w:bCs/>
                <w:szCs w:val="21"/>
              </w:rPr>
              <w:t xml:space="preserve">（三）税费</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b/>
                <w:bCs/>
                <w:szCs w:val="21"/>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W w:w="849"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W w:w="849"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W w:w="176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31</w:t>
            </w:r>
            <w:r/>
          </w:p>
        </w:tc>
        <w:tc>
          <w:tcPr>
            <w:shd w:val="clear" w:color="auto" w:fill="auto"/>
            <w:tcW w:w="2434" w:type="dxa"/>
            <w:vAlign w:val="center"/>
            <w:textDirection w:val="lrTb"/>
            <w:noWrap w:val="false"/>
          </w:tcPr>
          <w:p>
            <w:pPr>
              <w:jc w:val="left"/>
              <w:widowControl/>
              <w:rPr>
                <w:rFonts w:ascii="Times New Roman" w:hAnsi="Times New Roman" w:eastAsia="宋体" w:cs="Times New Roman"/>
                <w:szCs w:val="21"/>
              </w:rPr>
            </w:pPr>
            <w:r>
              <w:rPr>
                <w:rFonts w:hint="eastAsia" w:ascii="宋体" w:hAnsi="宋体" w:eastAsia="宋体" w:cs="Times New Roman"/>
                <w:szCs w:val="21"/>
              </w:rPr>
              <w:t xml:space="preserve">税费</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　</w:t>
            </w:r>
            <w:r/>
          </w:p>
        </w:tc>
        <w:tc>
          <w:tcPr>
            <w:gridSpan w:val="2"/>
            <w:shd w:val="clear" w:color="auto" w:fill="auto"/>
            <w:tcW w:w="2117" w:type="dxa"/>
            <w:vAlign w:val="center"/>
            <w:textDirection w:val="lrTb"/>
            <w:noWrap/>
          </w:tcPr>
          <w:p>
            <w:pPr>
              <w:jc w:val="center"/>
              <w:widowControl/>
              <w:rPr>
                <w:rFonts w:hint="eastAsia" w:ascii="宋体" w:hAnsi="宋体" w:eastAsia="宋体" w:cs="Times New Roman"/>
                <w:szCs w:val="21"/>
              </w:rPr>
            </w:pPr>
            <w:r>
              <w:rPr>
                <w:rFonts w:hint="eastAsia" w:ascii="宋体" w:hAnsi="宋体" w:eastAsia="宋体" w:cs="Times New Roman"/>
                <w:szCs w:val="21"/>
              </w:rPr>
              <w:t xml:space="preserve">（一）</w:t>
            </w:r>
            <w:r>
              <w:rPr>
                <w:rFonts w:ascii="Times New Roman" w:hAnsi="Times New Roman" w:eastAsia="宋体" w:cs="Times New Roman"/>
                <w:szCs w:val="21"/>
              </w:rPr>
              <w:t xml:space="preserve">×9%</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32</w:t>
            </w:r>
            <w:r/>
          </w:p>
        </w:tc>
        <w:tc>
          <w:tcPr>
            <w:shd w:val="clear" w:color="auto" w:fill="auto"/>
            <w:tcW w:w="2434"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（四）监测工程费</w:t>
            </w:r>
            <w:r/>
          </w:p>
        </w:tc>
        <w:tc>
          <w:tcPr>
            <w:shd w:val="clear" w:color="auto" w:fill="auto"/>
            <w:tcW w:w="1066" w:type="dxa"/>
            <w:vAlign w:val="center"/>
            <w:textDirection w:val="lrTb"/>
            <w:noWrap/>
          </w:tcPr>
          <w:p>
            <w:pPr>
              <w:jc w:val="center"/>
              <w:widowControl/>
              <w:rPr>
                <w:rFonts w:hint="eastAsia" w:ascii="Times New Roman" w:hAnsi="Times New Roman" w:eastAsia="宋体" w:cs="Times New Roman"/>
                <w:szCs w:val="21"/>
              </w:rPr>
            </w:pPr>
            <w:r>
              <w:rPr>
                <w:rFonts w:ascii="Times New Roman" w:hAnsi="Times New Roman" w:eastAsia="宋体" w:cs="Times New Roman"/>
                <w:szCs w:val="21"/>
              </w:rPr>
              <w:t xml:space="preserve">　</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项</w:t>
            </w:r>
            <w:r/>
          </w:p>
        </w:tc>
        <w:tc>
          <w:tcPr>
            <w:shd w:val="clear" w:color="auto" w:fill="auto"/>
            <w:tcW w:w="101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80"/>
        </w:trPr>
        <w:tc>
          <w:tcPr>
            <w:shd w:val="clear" w:color="auto" w:fill="auto"/>
            <w:tcW w:w="712" w:type="dxa"/>
            <w:vAlign w:val="center"/>
            <w:textDirection w:val="lrTb"/>
            <w:noWrap/>
          </w:tcPr>
          <w:p>
            <w:pPr>
              <w:jc w:val="center"/>
              <w:widowControl/>
              <w:rPr>
                <w:rFonts w:hint="default" w:ascii="Times New Roman" w:hAnsi="Times New Roman" w:eastAsia="宋体" w:cs="Times New Roman"/>
                <w:szCs w:val="21"/>
                <w:lang w:val="en-US" w:eastAsia="zh-CN"/>
              </w:rPr>
            </w:pPr>
            <w:r>
              <w:rPr>
                <w:rFonts w:hint="eastAsia" w:ascii="Times New Roman" w:hAnsi="Times New Roman" w:cs="Times New Roman"/>
                <w:b/>
                <w:bCs/>
                <w:szCs w:val="21"/>
                <w:lang w:val="en-US" w:eastAsia="zh-CN"/>
              </w:rPr>
              <w:t xml:space="preserve">33</w:t>
            </w:r>
            <w:r/>
          </w:p>
        </w:tc>
        <w:tc>
          <w:tcPr>
            <w:gridSpan w:val="5"/>
            <w:shd w:val="clear" w:color="auto" w:fill="auto"/>
            <w:tcW w:w="6466" w:type="dxa"/>
            <w:vAlign w:val="center"/>
            <w:textDirection w:val="lrTb"/>
            <w:noWrap/>
          </w:tcPr>
          <w:p>
            <w:pPr>
              <w:jc w:val="center"/>
              <w:widowControl/>
              <w:rPr>
                <w:rFonts w:ascii="Times New Roman" w:hAnsi="Times New Roman" w:eastAsia="宋体" w:cs="Times New Roman"/>
                <w:szCs w:val="21"/>
              </w:rPr>
            </w:pPr>
            <w:r>
              <w:rPr>
                <w:rFonts w:hint="eastAsia" w:ascii="宋体" w:hAnsi="宋体" w:cs="宋体"/>
                <w:szCs w:val="21"/>
                <w:lang w:val="en-US" w:eastAsia="zh-CN"/>
              </w:rPr>
              <w:t xml:space="preserve">总价（元）</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bl>
    <w:p>
      <w:pPr>
        <w:pStyle w:val="710"/>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四</w:t>
      </w:r>
      <w:r>
        <w:rPr>
          <w:rFonts w:hint="eastAsia" w:ascii="仿宋" w:hAnsi="仿宋" w:eastAsia="仿宋" w:cs="仿宋"/>
          <w:b/>
          <w:color w:val="auto"/>
          <w:sz w:val="30"/>
          <w:szCs w:val="30"/>
          <w:highlight w:val="none"/>
        </w:rPr>
        <w:t xml:space="preserve">、供应商必须提交的资格证明文件</w:t>
      </w:r>
      <w:r/>
    </w:p>
    <w:p>
      <w:pPr>
        <w:pStyle w:val="894"/>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jc w:val="left"/>
        <w:pageBreakBefore w:val="0"/>
        <w:spacing w:line="380" w:lineRule="exact"/>
        <w:widowControl/>
        <w:rPr>
          <w:rFonts w:hint="eastAsia" w:ascii="仿宋" w:hAnsi="仿宋" w:eastAsia="仿宋" w:cs="仿宋"/>
          <w:color w:val="auto"/>
          <w:highlight w:val="none"/>
          <w:lang w:val="en-US" w:eastAsia="zh-CN"/>
        </w:rPr>
        <w:sectPr>
          <w:footerReference w:type="default" r:id="rId11"/>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（如需上传</w:t>
      </w:r>
      <w:r>
        <w:rPr>
          <w:rFonts w:hint="eastAsia" w:ascii="仿宋" w:hAnsi="仿宋" w:eastAsia="仿宋" w:cs="仿宋"/>
          <w:color w:val="auto"/>
          <w:sz w:val="28"/>
          <w:highlight w:val="none"/>
          <w:lang w:eastAsia="zh-CN"/>
        </w:rPr>
        <w:t xml:space="preserve">其他</w:t>
      </w:r>
      <w:r>
        <w:rPr>
          <w:rFonts w:hint="eastAsia" w:ascii="仿宋" w:hAnsi="仿宋" w:eastAsia="仿宋" w:cs="仿宋"/>
          <w:color w:val="auto"/>
          <w:sz w:val="28"/>
          <w:highlight w:val="none"/>
        </w:rPr>
        <w:t xml:space="preserve">资料，可在“招标文件的其他材料”模块中上传相关材料，格式由投标人自定，加盖投标人</w:t>
      </w:r>
      <w:r>
        <w:rPr>
          <w:rFonts w:hint="eastAsia" w:ascii="仿宋" w:hAnsi="仿宋" w:eastAsia="仿宋" w:cs="仿宋"/>
          <w:bCs/>
          <w:color w:val="auto"/>
          <w:sz w:val="28"/>
          <w:szCs w:val="28"/>
          <w:highlight w:val="none"/>
        </w:rPr>
        <w:t xml:space="preserve">电子签章</w:t>
      </w:r>
      <w:r>
        <w:rPr>
          <w:rFonts w:hint="eastAsia" w:ascii="仿宋" w:hAnsi="仿宋" w:eastAsia="仿宋" w:cs="仿宋"/>
          <w:color w:val="auto"/>
          <w:sz w:val="28"/>
          <w:highlight w:val="none"/>
        </w:rPr>
        <w:t xml:space="preserve">）</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97"/>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693"/>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710"/>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10"/>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10"/>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693"/>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879"/>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710"/>
        <w:jc w:val="center"/>
        <w:keepLines w:val="0"/>
        <w:keepNext w:val="0"/>
        <w:pageBreakBefore w:val="0"/>
        <w:spacing w:line="48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888"/>
        <w:keepLines w:val="0"/>
        <w:keepNext w:val="0"/>
        <w:pageBreakBefore w:val="0"/>
        <w:spacing w:line="480" w:lineRule="exact"/>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0"/>
          <w:szCs w:val="20"/>
          <w:highlight w:val="none"/>
          <w:lang w:val="en-US"/>
        </w:rPr>
      </w:r>
      <w:r/>
    </w:p>
    <w:p>
      <w:pPr>
        <w:pStyle w:val="693"/>
        <w:ind w:left="0" w:firstLine="0"/>
        <w:pageBreakBefore w:val="0"/>
        <w:spacing w:line="380" w:lineRule="exact"/>
        <w:shd w:val="clear" w:color="auto" w:fill="ffffff"/>
        <w:rPr>
          <w:rFonts w:hint="eastAsia" w:ascii="仿宋" w:hAnsi="仿宋" w:eastAsia="仿宋" w:cs="仿宋"/>
          <w:color w:val="auto"/>
          <w:sz w:val="30"/>
          <w:szCs w:val="30"/>
          <w:highlight w:val="none"/>
        </w:rPr>
      </w:pPr>
      <w:r/>
      <w:bookmarkStart w:id="638" w:name="_Toc49352288"/>
      <w:r/>
      <w:bookmarkStart w:id="639" w:name="_Toc12956505"/>
      <w:r/>
      <w:r/>
    </w:p>
    <w:p>
      <w:pPr>
        <w:pStyle w:val="693"/>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638"/>
      <w:r/>
      <w:bookmarkEnd w:id="639"/>
      <w:r/>
      <w:r/>
    </w:p>
    <w:p>
      <w:pPr>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703"/>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693"/>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703"/>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703"/>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894"/>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color w:val="auto"/>
          <w:highlight w:val="none"/>
        </w:rPr>
      </w:pPr>
      <w:r>
        <w:rPr>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1"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714"/>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0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2"/>
  </w:num>
  <w:num w:numId="4">
    <w:abstractNumId w:val="5"/>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9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31"/>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93">
    <w:name w:val="Heading 3"/>
    <w:basedOn w:val="690"/>
    <w:next w:val="690"/>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694">
    <w:name w:val="Heading 4"/>
    <w:basedOn w:val="690"/>
    <w:next w:val="690"/>
    <w:uiPriority w:val="0"/>
    <w:qFormat/>
    <w:pPr>
      <w:keepLines/>
      <w:keepNext/>
      <w:spacing w:before="280" w:after="290" w:line="372" w:lineRule="auto"/>
      <w:outlineLvl w:val="3"/>
    </w:pPr>
    <w:rPr>
      <w:rFonts w:ascii="Arial" w:hAnsi="Arial" w:eastAsia="黑体"/>
      <w:b/>
      <w:bCs/>
      <w:sz w:val="28"/>
      <w:szCs w:val="28"/>
    </w:rPr>
  </w:style>
  <w:style w:type="paragraph" w:styleId="695">
    <w:name w:val="Heading 5"/>
    <w:basedOn w:val="690"/>
    <w:next w:val="690"/>
    <w:link w:val="735"/>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6"/>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8"/>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9"/>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0"/>
    <w:semiHidden/>
    <w:qFormat/>
  </w:style>
  <w:style w:type="table" w:styleId="701" w:default="1">
    <w:name w:val="Normal Table"/>
    <w:uiPriority w:val="0"/>
    <w:semiHidden/>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Normal Indent"/>
    <w:basedOn w:val="690"/>
    <w:next w:val="690"/>
    <w:uiPriority w:val="0"/>
    <w:qFormat/>
    <w:pPr>
      <w:ind w:firstLine="200"/>
    </w:pPr>
    <w:rPr>
      <w:sz w:val="20"/>
    </w:rPr>
  </w:style>
  <w:style w:type="paragraph" w:styleId="704">
    <w:name w:val="Caption"/>
    <w:basedOn w:val="690"/>
    <w:next w:val="69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5">
    <w:name w:val="toa heading"/>
    <w:basedOn w:val="690"/>
    <w:next w:val="690"/>
    <w:uiPriority w:val="0"/>
    <w:qFormat/>
    <w:pPr>
      <w:spacing w:before="120" w:beforeAutospacing="0"/>
    </w:pPr>
    <w:rPr>
      <w:rFonts w:ascii="Arial" w:hAnsi="Arial"/>
      <w:sz w:val="24"/>
    </w:rPr>
  </w:style>
  <w:style w:type="paragraph" w:styleId="706">
    <w:name w:val="Body Text"/>
    <w:basedOn w:val="690"/>
    <w:next w:val="690"/>
    <w:uiPriority w:val="0"/>
    <w:qFormat/>
    <w:pPr>
      <w:jc w:val="center"/>
    </w:pPr>
    <w:rPr>
      <w:rFonts w:eastAsia="仿宋_GB2312"/>
      <w:sz w:val="28"/>
    </w:rPr>
  </w:style>
  <w:style w:type="paragraph" w:styleId="707">
    <w:name w:val="List Bullet 2"/>
    <w:basedOn w:val="690"/>
    <w:uiPriority w:val="0"/>
    <w:qFormat/>
    <w:pPr>
      <w:numPr>
        <w:ilvl w:val="0"/>
        <w:numId w:val="1"/>
      </w:numPr>
    </w:pPr>
  </w:style>
  <w:style w:type="paragraph" w:styleId="708">
    <w:name w:val="toc 5"/>
    <w:basedOn w:val="690"/>
    <w:next w:val="690"/>
    <w:uiPriority w:val="39"/>
    <w:unhideWhenUsed/>
    <w:qFormat/>
    <w:pPr>
      <w:ind w:left="1134" w:right="0" w:firstLine="0"/>
      <w:spacing w:after="57"/>
    </w:pPr>
  </w:style>
  <w:style w:type="paragraph" w:styleId="709">
    <w:name w:val="toc 3"/>
    <w:basedOn w:val="690"/>
    <w:next w:val="690"/>
    <w:uiPriority w:val="39"/>
    <w:unhideWhenUsed/>
    <w:qFormat/>
    <w:pPr>
      <w:ind w:left="567" w:right="0" w:firstLine="0"/>
      <w:spacing w:after="57"/>
    </w:pPr>
  </w:style>
  <w:style w:type="paragraph" w:styleId="710">
    <w:name w:val="Plain Text"/>
    <w:basedOn w:val="690"/>
    <w:uiPriority w:val="0"/>
    <w:qFormat/>
    <w:rPr>
      <w:rFonts w:ascii="宋体"/>
      <w:szCs w:val="20"/>
    </w:rPr>
  </w:style>
  <w:style w:type="paragraph" w:styleId="711">
    <w:name w:val="toc 8"/>
    <w:basedOn w:val="690"/>
    <w:next w:val="690"/>
    <w:uiPriority w:val="39"/>
    <w:unhideWhenUsed/>
    <w:qFormat/>
    <w:pPr>
      <w:ind w:left="1984" w:right="0" w:firstLine="0"/>
      <w:spacing w:after="57"/>
    </w:pPr>
  </w:style>
  <w:style w:type="paragraph" w:styleId="712">
    <w:name w:val="Body Text Indent 2"/>
    <w:basedOn w:val="690"/>
    <w:uiPriority w:val="0"/>
    <w:qFormat/>
    <w:pPr>
      <w:ind w:right="-1" w:firstLine="540"/>
      <w:tabs>
        <w:tab w:val="left" w:pos="9741" w:leader="none"/>
      </w:tabs>
    </w:pPr>
    <w:rPr>
      <w:rFonts w:eastAsia="仿宋_GB2312"/>
      <w:sz w:val="28"/>
    </w:rPr>
  </w:style>
  <w:style w:type="paragraph" w:styleId="713">
    <w:name w:val="endnote text"/>
    <w:basedOn w:val="690"/>
    <w:link w:val="876"/>
    <w:uiPriority w:val="99"/>
    <w:semiHidden/>
    <w:unhideWhenUsed/>
    <w:pPr>
      <w:spacing w:after="0" w:line="240" w:lineRule="auto"/>
    </w:pPr>
    <w:rPr>
      <w:sz w:val="20"/>
    </w:rPr>
  </w:style>
  <w:style w:type="paragraph" w:styleId="714">
    <w:name w:val="Footer"/>
    <w:basedOn w:val="690"/>
    <w:uiPriority w:val="0"/>
    <w:qFormat/>
    <w:pPr>
      <w:jc w:val="left"/>
      <w:tabs>
        <w:tab w:val="center" w:pos="4153" w:leader="none"/>
        <w:tab w:val="right" w:pos="8306" w:leader="none"/>
      </w:tabs>
    </w:pPr>
    <w:rPr>
      <w:rFonts w:ascii="Verdana" w:hAnsi="Verdana"/>
      <w:sz w:val="18"/>
      <w:szCs w:val="18"/>
    </w:rPr>
  </w:style>
  <w:style w:type="paragraph" w:styleId="715">
    <w:name w:val="Header"/>
    <w:basedOn w:val="69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16">
    <w:name w:val="toc 1"/>
    <w:basedOn w:val="690"/>
    <w:next w:val="690"/>
    <w:uiPriority w:val="39"/>
    <w:unhideWhenUsed/>
    <w:qFormat/>
    <w:pPr>
      <w:ind w:left="0" w:right="0" w:firstLine="0"/>
      <w:spacing w:after="57"/>
    </w:pPr>
  </w:style>
  <w:style w:type="paragraph" w:styleId="717">
    <w:name w:val="toc 4"/>
    <w:basedOn w:val="690"/>
    <w:next w:val="690"/>
    <w:uiPriority w:val="39"/>
    <w:unhideWhenUsed/>
    <w:qFormat/>
    <w:pPr>
      <w:ind w:left="850" w:right="0" w:firstLine="0"/>
      <w:spacing w:after="57"/>
    </w:pPr>
  </w:style>
  <w:style w:type="paragraph" w:styleId="718">
    <w:name w:val="Subtitle"/>
    <w:basedOn w:val="690"/>
    <w:next w:val="690"/>
    <w:link w:val="742"/>
    <w:uiPriority w:val="11"/>
    <w:qFormat/>
    <w:pPr>
      <w:spacing w:before="200" w:after="200"/>
    </w:pPr>
    <w:rPr>
      <w:sz w:val="24"/>
      <w:szCs w:val="24"/>
    </w:rPr>
  </w:style>
  <w:style w:type="paragraph" w:styleId="719">
    <w:name w:val="footnote text"/>
    <w:basedOn w:val="690"/>
    <w:link w:val="875"/>
    <w:uiPriority w:val="99"/>
    <w:semiHidden/>
    <w:unhideWhenUsed/>
    <w:qFormat/>
    <w:pPr>
      <w:spacing w:after="40" w:line="240" w:lineRule="auto"/>
    </w:pPr>
    <w:rPr>
      <w:sz w:val="18"/>
    </w:rPr>
  </w:style>
  <w:style w:type="paragraph" w:styleId="720">
    <w:name w:val="toc 6"/>
    <w:basedOn w:val="690"/>
    <w:next w:val="690"/>
    <w:uiPriority w:val="0"/>
    <w:qFormat/>
    <w:pPr>
      <w:ind w:left="1050"/>
      <w:jc w:val="left"/>
    </w:pPr>
    <w:rPr>
      <w:sz w:val="18"/>
      <w:szCs w:val="18"/>
    </w:rPr>
  </w:style>
  <w:style w:type="paragraph" w:styleId="721">
    <w:name w:val="table of figures"/>
    <w:basedOn w:val="690"/>
    <w:next w:val="690"/>
    <w:uiPriority w:val="99"/>
    <w:unhideWhenUsed/>
    <w:qFormat/>
    <w:pPr>
      <w:spacing w:after="0" w:afterAutospacing="0"/>
    </w:pPr>
  </w:style>
  <w:style w:type="paragraph" w:styleId="722">
    <w:name w:val="toc 2"/>
    <w:basedOn w:val="690"/>
    <w:next w:val="690"/>
    <w:uiPriority w:val="0"/>
    <w:unhideWhenUsed/>
    <w:qFormat/>
    <w:pPr>
      <w:ind w:left="283"/>
      <w:spacing w:after="57"/>
    </w:pPr>
  </w:style>
  <w:style w:type="paragraph" w:styleId="723">
    <w:name w:val="toc 9"/>
    <w:basedOn w:val="690"/>
    <w:next w:val="690"/>
    <w:uiPriority w:val="39"/>
    <w:unhideWhenUsed/>
    <w:qFormat/>
    <w:pPr>
      <w:ind w:left="2268" w:right="0" w:firstLine="0"/>
      <w:spacing w:after="57"/>
    </w:pPr>
  </w:style>
  <w:style w:type="paragraph" w:styleId="724">
    <w:name w:val="Normal (Web)"/>
    <w:basedOn w:val="690"/>
    <w:uiPriority w:val="0"/>
    <w:qFormat/>
    <w:pPr>
      <w:ind w:left="0" w:right="0"/>
      <w:jc w:val="left"/>
      <w:spacing w:before="0" w:beforeAutospacing="1" w:after="0" w:afterAutospacing="1"/>
    </w:pPr>
    <w:rPr>
      <w:sz w:val="24"/>
      <w:lang w:val="en-US" w:eastAsia="zh-CN" w:bidi="ar"/>
    </w:rPr>
  </w:style>
  <w:style w:type="paragraph" w:styleId="725">
    <w:name w:val="Title"/>
    <w:basedOn w:val="690"/>
    <w:next w:val="690"/>
    <w:link w:val="741"/>
    <w:uiPriority w:val="10"/>
    <w:qFormat/>
    <w:pPr>
      <w:contextualSpacing/>
      <w:spacing w:before="300" w:after="200"/>
    </w:pPr>
    <w:rPr>
      <w:sz w:val="48"/>
      <w:szCs w:val="48"/>
    </w:rPr>
  </w:style>
  <w:style w:type="table" w:styleId="72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basedOn w:val="700"/>
    <w:uiPriority w:val="0"/>
    <w:qFormat/>
    <w:rPr>
      <w:b/>
    </w:rPr>
  </w:style>
  <w:style w:type="character" w:styleId="728">
    <w:name w:val="endnote reference"/>
    <w:basedOn w:val="700"/>
    <w:uiPriority w:val="99"/>
    <w:semiHidden/>
    <w:unhideWhenUsed/>
    <w:rPr>
      <w:vertAlign w:val="superscript"/>
    </w:rPr>
  </w:style>
  <w:style w:type="character" w:styleId="729">
    <w:name w:val="Hyperlink"/>
    <w:uiPriority w:val="99"/>
    <w:unhideWhenUsed/>
    <w:qFormat/>
    <w:rPr>
      <w:color w:val="0026e5" w:themeColor="hyperlink"/>
      <w:u w:val="single"/>
      <w14:textFill>
        <w14:solidFill>
          <w14:schemeClr w14:val="hlink"/>
        </w14:solidFill>
      </w14:textFill>
    </w:rPr>
  </w:style>
  <w:style w:type="character" w:styleId="730">
    <w:name w:val="footnote reference"/>
    <w:basedOn w:val="700"/>
    <w:uiPriority w:val="99"/>
    <w:unhideWhenUsed/>
    <w:qFormat/>
    <w:rPr>
      <w:vertAlign w:val="superscript"/>
    </w:rPr>
  </w:style>
  <w:style w:type="character" w:styleId="731" w:customStyle="1">
    <w:name w:val="Heading 1 Char"/>
    <w:basedOn w:val="700"/>
    <w:link w:val="691"/>
    <w:uiPriority w:val="9"/>
    <w:qFormat/>
    <w:rPr>
      <w:rFonts w:ascii="Arial" w:hAnsi="Arial" w:eastAsia="Arial" w:cs="Arial"/>
      <w:sz w:val="40"/>
      <w:szCs w:val="40"/>
    </w:rPr>
  </w:style>
  <w:style w:type="character" w:styleId="732" w:customStyle="1">
    <w:name w:val="Heading 2 Char"/>
    <w:basedOn w:val="700"/>
    <w:uiPriority w:val="9"/>
    <w:qFormat/>
    <w:rPr>
      <w:rFonts w:ascii="Arial" w:hAnsi="Arial" w:eastAsia="Arial" w:cs="Arial"/>
      <w:sz w:val="34"/>
    </w:rPr>
  </w:style>
  <w:style w:type="character" w:styleId="733" w:customStyle="1">
    <w:name w:val="Heading 3 Char"/>
    <w:basedOn w:val="700"/>
    <w:uiPriority w:val="9"/>
    <w:qFormat/>
    <w:rPr>
      <w:rFonts w:ascii="Arial" w:hAnsi="Arial" w:eastAsia="Arial" w:cs="Arial"/>
      <w:sz w:val="30"/>
      <w:szCs w:val="30"/>
    </w:rPr>
  </w:style>
  <w:style w:type="character" w:styleId="734" w:customStyle="1">
    <w:name w:val="Heading 4 Char"/>
    <w:basedOn w:val="700"/>
    <w:uiPriority w:val="9"/>
    <w:qFormat/>
    <w:rPr>
      <w:rFonts w:ascii="Arial" w:hAnsi="Arial" w:eastAsia="Arial" w:cs="Arial"/>
      <w:b/>
      <w:bCs/>
      <w:sz w:val="26"/>
      <w:szCs w:val="26"/>
    </w:rPr>
  </w:style>
  <w:style w:type="character" w:styleId="735" w:customStyle="1">
    <w:name w:val="Heading 5 Char"/>
    <w:basedOn w:val="700"/>
    <w:link w:val="695"/>
    <w:uiPriority w:val="9"/>
    <w:qFormat/>
    <w:rPr>
      <w:rFonts w:ascii="Arial" w:hAnsi="Arial" w:eastAsia="Arial" w:cs="Arial"/>
      <w:b/>
      <w:bCs/>
      <w:sz w:val="24"/>
      <w:szCs w:val="24"/>
    </w:rPr>
  </w:style>
  <w:style w:type="character" w:styleId="736" w:customStyle="1">
    <w:name w:val="Heading 6 Char"/>
    <w:basedOn w:val="700"/>
    <w:link w:val="696"/>
    <w:uiPriority w:val="9"/>
    <w:qFormat/>
    <w:rPr>
      <w:rFonts w:ascii="Arial" w:hAnsi="Arial" w:eastAsia="Arial" w:cs="Arial"/>
      <w:b/>
      <w:bCs/>
      <w:sz w:val="22"/>
      <w:szCs w:val="22"/>
    </w:rPr>
  </w:style>
  <w:style w:type="character" w:styleId="737" w:customStyle="1">
    <w:name w:val="Heading 7 Char"/>
    <w:basedOn w:val="700"/>
    <w:link w:val="697"/>
    <w:uiPriority w:val="9"/>
    <w:rPr>
      <w:rFonts w:ascii="Arial" w:hAnsi="Arial" w:eastAsia="Arial" w:cs="Arial"/>
      <w:b/>
      <w:bCs/>
      <w:i/>
      <w:iCs/>
      <w:sz w:val="22"/>
      <w:szCs w:val="22"/>
    </w:rPr>
  </w:style>
  <w:style w:type="character" w:styleId="738" w:customStyle="1">
    <w:name w:val="Heading 8 Char"/>
    <w:basedOn w:val="700"/>
    <w:link w:val="698"/>
    <w:uiPriority w:val="9"/>
    <w:rPr>
      <w:rFonts w:ascii="Arial" w:hAnsi="Arial" w:eastAsia="Arial" w:cs="Arial"/>
      <w:i/>
      <w:iCs/>
      <w:sz w:val="22"/>
      <w:szCs w:val="22"/>
    </w:rPr>
  </w:style>
  <w:style w:type="character" w:styleId="739" w:customStyle="1">
    <w:name w:val="Heading 9 Char"/>
    <w:basedOn w:val="700"/>
    <w:link w:val="699"/>
    <w:uiPriority w:val="9"/>
    <w:qFormat/>
    <w:rPr>
      <w:rFonts w:ascii="Arial" w:hAnsi="Arial" w:eastAsia="Arial" w:cs="Arial"/>
      <w:i/>
      <w:iCs/>
      <w:sz w:val="21"/>
      <w:szCs w:val="21"/>
    </w:rPr>
  </w:style>
  <w:style w:type="paragraph" w:styleId="740">
    <w:name w:val="No Spacing"/>
    <w:uiPriority w:val="1"/>
    <w:qFormat/>
    <w:pPr>
      <w:spacing w:before="0" w:after="0" w:line="240" w:lineRule="auto"/>
    </w:pPr>
    <w:rPr>
      <w:rFonts w:hint="default" w:ascii="Times New Roman" w:hAnsi="Times New Roman" w:eastAsia="宋体" w:cs="Times New Roman"/>
    </w:rPr>
  </w:style>
  <w:style w:type="character" w:styleId="741" w:customStyle="1">
    <w:name w:val="Title Char"/>
    <w:basedOn w:val="700"/>
    <w:link w:val="725"/>
    <w:uiPriority w:val="10"/>
    <w:rPr>
      <w:sz w:val="48"/>
      <w:szCs w:val="48"/>
    </w:rPr>
  </w:style>
  <w:style w:type="character" w:styleId="742" w:customStyle="1">
    <w:name w:val="Subtitle Char"/>
    <w:basedOn w:val="700"/>
    <w:link w:val="718"/>
    <w:uiPriority w:val="11"/>
    <w:qFormat/>
    <w:rPr>
      <w:sz w:val="24"/>
      <w:szCs w:val="24"/>
    </w:rPr>
  </w:style>
  <w:style w:type="paragraph" w:styleId="743">
    <w:name w:val="Quote"/>
    <w:basedOn w:val="690"/>
    <w:next w:val="690"/>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90"/>
    <w:next w:val="690"/>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rPr>
      <w:i/>
    </w:rPr>
  </w:style>
  <w:style w:type="character" w:styleId="747" w:customStyle="1">
    <w:name w:val="Header Char"/>
    <w:basedOn w:val="700"/>
    <w:uiPriority w:val="99"/>
  </w:style>
  <w:style w:type="character" w:styleId="748" w:customStyle="1">
    <w:name w:val="Footer Char"/>
    <w:basedOn w:val="700"/>
    <w:uiPriority w:val="99"/>
  </w:style>
  <w:style w:type="character" w:styleId="749" w:customStyle="1">
    <w:name w:val="Caption Char"/>
    <w:uiPriority w:val="99"/>
    <w:qFormat/>
  </w:style>
  <w:style w:type="table" w:styleId="750" w:customStyle="1">
    <w:name w:val="Table Grid Light"/>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basedOn w:val="70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70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70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70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70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701"/>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701"/>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701"/>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701"/>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701"/>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701"/>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0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70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70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701"/>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701"/>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701"/>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701"/>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0" w:customStyle="1">
    <w:name w:val="Grid Table 3"/>
    <w:basedOn w:val="70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701"/>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701"/>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701"/>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701"/>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701"/>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701"/>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0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701"/>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9" w:customStyle="1">
    <w:name w:val="Grid Table 4 - Accent 2"/>
    <w:basedOn w:val="701"/>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0" w:customStyle="1">
    <w:name w:val="Grid Table 4 - Accent 3"/>
    <w:basedOn w:val="701"/>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1" w:customStyle="1">
    <w:name w:val="Grid Table 4 - Accent 4"/>
    <w:basedOn w:val="701"/>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2" w:customStyle="1">
    <w:name w:val="Grid Table 4 - Accent 5"/>
    <w:basedOn w:val="701"/>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3" w:customStyle="1">
    <w:name w:val="Grid Table 4 - Accent 6"/>
    <w:basedOn w:val="701"/>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4" w:customStyle="1">
    <w:name w:val="Grid Table 5 Dark"/>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6" w:customStyle="1">
    <w:name w:val="Grid Table 5 Dark - Accent 2"/>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7" w:customStyle="1">
    <w:name w:val="Grid Table 5 Dark - Accent 3"/>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8" w:customStyle="1">
    <w:name w:val="Grid Table 5 Dark- Accent 4"/>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9" w:customStyle="1">
    <w:name w:val="Grid Table 5 Dark - Accent 5"/>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0" w:customStyle="1">
    <w:name w:val="Grid Table 5 Dark - Accent 6"/>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1" w:customStyle="1">
    <w:name w:val="Grid Table 6 Colorful"/>
    <w:basedOn w:val="70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basedOn w:val="701"/>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3" w:customStyle="1">
    <w:name w:val="Grid Table 6 Colorful - Accent 2"/>
    <w:basedOn w:val="701"/>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4" w:customStyle="1">
    <w:name w:val="Grid Table 6 Colorful - Accent 3"/>
    <w:basedOn w:val="701"/>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5" w:customStyle="1">
    <w:name w:val="Grid Table 6 Colorful - Accent 4"/>
    <w:basedOn w:val="701"/>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6" w:customStyle="1">
    <w:name w:val="Grid Table 6 Colorful - Accent 5"/>
    <w:basedOn w:val="701"/>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7" w:customStyle="1">
    <w:name w:val="Grid Table 6 Colorful - Accent 6"/>
    <w:basedOn w:val="701"/>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8"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701"/>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701"/>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701"/>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70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70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701"/>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basedOn w:val="70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701"/>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70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70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70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701"/>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701"/>
    <w:uiPriority w:val="99"/>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2" w:customStyle="1">
    <w:name w:val="List Table 2"/>
    <w:basedOn w:val="70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basedOn w:val="701"/>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4" w:customStyle="1">
    <w:name w:val="List Table 2 - Accent 2"/>
    <w:basedOn w:val="701"/>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5" w:customStyle="1">
    <w:name w:val="List Table 2 - Accent 3"/>
    <w:basedOn w:val="701"/>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6" w:customStyle="1">
    <w:name w:val="List Table 2 - Accent 4"/>
    <w:basedOn w:val="701"/>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7" w:customStyle="1">
    <w:name w:val="List Table 2 - Accent 5"/>
    <w:basedOn w:val="701"/>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8" w:customStyle="1">
    <w:name w:val="List Table 2 - Accent 6"/>
    <w:basedOn w:val="701"/>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9" w:customStyle="1">
    <w:name w:val="List Table 3"/>
    <w:basedOn w:val="70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701"/>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1" w:customStyle="1">
    <w:name w:val="List Table 3 - Accent 2"/>
    <w:basedOn w:val="701"/>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701"/>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701"/>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70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701"/>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6" w:customStyle="1">
    <w:name w:val="List Table 4"/>
    <w:basedOn w:val="70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701"/>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8" w:customStyle="1">
    <w:name w:val="List Table 4 - Accent 2"/>
    <w:basedOn w:val="701"/>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9" w:customStyle="1">
    <w:name w:val="List Table 4 - Accent 3"/>
    <w:basedOn w:val="701"/>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0" w:customStyle="1">
    <w:name w:val="List Table 4 - Accent 4"/>
    <w:basedOn w:val="701"/>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1" w:customStyle="1">
    <w:name w:val="List Table 4 - Accent 5"/>
    <w:basedOn w:val="701"/>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2" w:customStyle="1">
    <w:name w:val="List Table 4 - Accent 6"/>
    <w:basedOn w:val="701"/>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3" w:customStyle="1">
    <w:name w:val="List Table 5 Dark"/>
    <w:basedOn w:val="70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basedOn w:val="701"/>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basedOn w:val="701"/>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basedOn w:val="701"/>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basedOn w:val="701"/>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basedOn w:val="701"/>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basedOn w:val="701"/>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70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basedOn w:val="701"/>
    <w:uiPriority w:val="99"/>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2" w:customStyle="1">
    <w:name w:val="List Table 6 Colorful - Accent 2"/>
    <w:basedOn w:val="701"/>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3" w:customStyle="1">
    <w:name w:val="List Table 6 Colorful - Accent 3"/>
    <w:basedOn w:val="701"/>
    <w:uiPriority w:val="99"/>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4" w:customStyle="1">
    <w:name w:val="List Table 6 Colorful - Accent 4"/>
    <w:basedOn w:val="701"/>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5" w:customStyle="1">
    <w:name w:val="List Table 6 Colorful - Accent 5"/>
    <w:basedOn w:val="701"/>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6" w:customStyle="1">
    <w:name w:val="List Table 6 Colorful - Accent 6"/>
    <w:basedOn w:val="701"/>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7" w:customStyle="1">
    <w:name w:val="List Table 7 Colorful"/>
    <w:basedOn w:val="70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701"/>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701"/>
    <w:uiPriority w:val="99"/>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701"/>
    <w:uiPriority w:val="99"/>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701"/>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701"/>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701"/>
    <w:uiPriority w:val="99"/>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6" w:customStyle="1">
    <w:name w:val="Lined - Accent 2"/>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7" w:customStyle="1">
    <w:name w:val="Lined - Accent 3"/>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8" w:customStyle="1">
    <w:name w:val="Lined - Accent 4"/>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9" w:customStyle="1">
    <w:name w:val="Lined - Accent 5"/>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0" w:customStyle="1">
    <w:name w:val="Lined - Accent 6"/>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1" w:customStyle="1">
    <w:name w:val="Bordered &amp; Lined - Accent"/>
    <w:basedOn w:val="70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basedOn w:val="701"/>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3" w:customStyle="1">
    <w:name w:val="Bordered &amp; Lined - Accent 2"/>
    <w:basedOn w:val="701"/>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4" w:customStyle="1">
    <w:name w:val="Bordered &amp; Lined - Accent 3"/>
    <w:basedOn w:val="701"/>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5" w:customStyle="1">
    <w:name w:val="Bordered &amp; Lined - Accent 4"/>
    <w:basedOn w:val="701"/>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6" w:customStyle="1">
    <w:name w:val="Bordered &amp; Lined - Accent 5"/>
    <w:basedOn w:val="701"/>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7" w:customStyle="1">
    <w:name w:val="Bordered &amp; Lined - Accent 6"/>
    <w:basedOn w:val="701"/>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8" w:customStyle="1">
    <w:name w:val="Bordered"/>
    <w:basedOn w:val="70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basedOn w:val="701"/>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0" w:customStyle="1">
    <w:name w:val="Bordered - Accent 2"/>
    <w:basedOn w:val="701"/>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1" w:customStyle="1">
    <w:name w:val="Bordered - Accent 3"/>
    <w:basedOn w:val="701"/>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2" w:customStyle="1">
    <w:name w:val="Bordered - Accent 4"/>
    <w:basedOn w:val="701"/>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3" w:customStyle="1">
    <w:name w:val="Bordered - Accent 5"/>
    <w:basedOn w:val="701"/>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4" w:customStyle="1">
    <w:name w:val="Bordered - Accent 6"/>
    <w:basedOn w:val="701"/>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5" w:customStyle="1">
    <w:name w:val="Footnote Text Char"/>
    <w:link w:val="719"/>
    <w:uiPriority w:val="99"/>
    <w:rPr>
      <w:sz w:val="18"/>
    </w:rPr>
  </w:style>
  <w:style w:type="character" w:styleId="876" w:customStyle="1">
    <w:name w:val="Endnote Text Char"/>
    <w:link w:val="713"/>
    <w:uiPriority w:val="99"/>
    <w:rPr>
      <w:sz w:val="20"/>
    </w:rPr>
  </w:style>
  <w:style w:type="paragraph" w:styleId="877" w:customStyle="1">
    <w:name w:val="TOC Heading"/>
    <w:uiPriority w:val="39"/>
    <w:unhideWhenUsed/>
    <w:rPr>
      <w:rFonts w:hint="default" w:ascii="Times New Roman" w:hAnsi="Times New Roman" w:eastAsia="宋体" w:cs="Times New Roman"/>
    </w:rPr>
  </w:style>
  <w:style w:type="paragraph" w:styleId="878" w:customStyle="1">
    <w:name w:val="信息标题1"/>
    <w:basedOn w:val="690"/>
    <w:next w:val="69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879" w:customStyle="1">
    <w:name w:val="段"/>
    <w:basedOn w:val="880"/>
    <w:next w:val="690"/>
    <w:uiPriority w:val="0"/>
    <w:qFormat/>
    <w:pPr>
      <w:ind w:firstLine="200"/>
      <w:jc w:val="both"/>
    </w:pPr>
    <w:rPr>
      <w:rFonts w:hint="default" w:ascii="宋体" w:hAnsi="Times New Roman" w:eastAsia="宋体" w:cs="Times New Roman"/>
      <w:sz w:val="21"/>
      <w:szCs w:val="22"/>
    </w:rPr>
  </w:style>
  <w:style w:type="paragraph" w:styleId="880" w:customStyle="1">
    <w:name w:val="正文13"/>
    <w:next w:val="88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正文首行缩进1"/>
    <w:basedOn w:val="882"/>
    <w:next w:val="885"/>
    <w:uiPriority w:val="0"/>
    <w:qFormat/>
    <w:pPr>
      <w:ind w:firstLine="420"/>
      <w:spacing w:after="120"/>
      <w:tabs>
        <w:tab w:val="left" w:pos="2020" w:leader="none"/>
        <w:tab w:val="center" w:pos="4535" w:leader="none"/>
      </w:tabs>
    </w:pPr>
    <w:rPr>
      <w:sz w:val="21"/>
    </w:rPr>
  </w:style>
  <w:style w:type="paragraph" w:styleId="882" w:customStyle="1">
    <w:name w:val="正文文本1"/>
    <w:basedOn w:val="690"/>
    <w:next w:val="883"/>
    <w:uiPriority w:val="0"/>
    <w:qFormat/>
    <w:pPr>
      <w:jc w:val="center"/>
    </w:pPr>
    <w:rPr>
      <w:rFonts w:eastAsia="仿宋_GB2312"/>
      <w:sz w:val="28"/>
    </w:rPr>
  </w:style>
  <w:style w:type="paragraph" w:styleId="883" w:customStyle="1">
    <w:name w:val="一级条标题"/>
    <w:basedOn w:val="884"/>
    <w:next w:val="87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4" w:customStyle="1">
    <w:name w:val="章标题"/>
    <w:basedOn w:val="690"/>
    <w:next w:val="690"/>
    <w:uiPriority w:val="99"/>
    <w:qFormat/>
    <w:pPr>
      <w:jc w:val="center"/>
      <w:spacing w:before="158" w:after="153" w:line="1292" w:lineRule="atLeast"/>
      <w:widowControl/>
    </w:pPr>
    <w:rPr>
      <w:rFonts w:ascii="Arial" w:eastAsia="黑体" w:cs="黑体"/>
      <w:sz w:val="31"/>
      <w:szCs w:val="22"/>
      <w:lang w:eastAsia="en-US"/>
    </w:rPr>
  </w:style>
  <w:style w:type="paragraph" w:styleId="885" w:customStyle="1">
    <w:name w:val="正文首行缩进 211"/>
    <w:basedOn w:val="886"/>
    <w:uiPriority w:val="99"/>
    <w:qFormat/>
    <w:pPr>
      <w:ind w:firstLine="420"/>
    </w:pPr>
    <w:rPr>
      <w:sz w:val="24"/>
    </w:rPr>
  </w:style>
  <w:style w:type="paragraph" w:styleId="886" w:customStyle="1">
    <w:name w:val="正文文本缩进11"/>
    <w:basedOn w:val="887"/>
    <w:uiPriority w:val="99"/>
    <w:qFormat/>
    <w:pPr>
      <w:ind w:firstLine="538"/>
    </w:pPr>
    <w:rPr>
      <w:sz w:val="28"/>
    </w:rPr>
  </w:style>
  <w:style w:type="paragraph" w:styleId="887" w:customStyle="1">
    <w:name w:val="正文112"/>
    <w:next w:val="88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889" w:customStyle="1">
    <w:name w:val="标题 21"/>
    <w:basedOn w:val="690"/>
    <w:next w:val="690"/>
    <w:uiPriority w:val="0"/>
    <w:qFormat/>
    <w:pPr>
      <w:keepLines/>
      <w:keepNext/>
      <w:spacing w:before="260" w:after="260" w:line="413" w:lineRule="auto"/>
      <w:outlineLvl w:val="1"/>
    </w:pPr>
    <w:rPr>
      <w:rFonts w:ascii="Arial" w:hAnsi="Arial" w:eastAsia="黑体"/>
      <w:b/>
      <w:sz w:val="32"/>
      <w:szCs w:val="20"/>
    </w:rPr>
  </w:style>
  <w:style w:type="paragraph" w:styleId="890" w:customStyle="1">
    <w:name w:val="正文格式"/>
    <w:uiPriority w:val="0"/>
    <w:qFormat/>
    <w:pPr>
      <w:ind w:firstLine="200"/>
      <w:spacing w:line="360" w:lineRule="auto"/>
    </w:pPr>
    <w:rPr>
      <w:rFonts w:hint="default" w:ascii="宋体" w:hAnsi="Times New Roman" w:eastAsia="宋体" w:cs="Times New Roman"/>
      <w:sz w:val="28"/>
      <w:szCs w:val="22"/>
      <w:lang w:val="en-US" w:eastAsia="zh-CN" w:bidi="ar-SA"/>
    </w:rPr>
  </w:style>
  <w:style w:type="paragraph" w:styleId="891" w:customStyle="1">
    <w:name w:val="Table Text"/>
    <w:basedOn w:val="690"/>
    <w:uiPriority w:val="0"/>
    <w:semiHidden/>
    <w:qFormat/>
    <w:rPr>
      <w:rFonts w:ascii="宋体" w:hAnsi="宋体" w:eastAsia="宋体" w:cs="宋体"/>
      <w:sz w:val="24"/>
      <w:szCs w:val="24"/>
      <w:lang w:val="en-US" w:eastAsia="en-US" w:bidi="ar-SA"/>
    </w:rPr>
  </w:style>
  <w:style w:type="table" w:styleId="892" w:customStyle="1">
    <w:name w:val="Table Normal"/>
    <w:uiPriority w:val="0"/>
    <w:unhideWhenUsed/>
    <w:qFormat/>
    <w:tblPr>
      <w:tblCellMar>
        <w:left w:w="0" w:type="dxa"/>
        <w:top w:w="0" w:type="dxa"/>
        <w:right w:w="0" w:type="dxa"/>
        <w:bottom w:w="0" w:type="dxa"/>
      </w:tblCellMar>
    </w:tblPr>
  </w:style>
  <w:style w:type="paragraph" w:styleId="893" w:customStyle="1">
    <w:name w:val="正文_0"/>
    <w:basedOn w:val="690"/>
    <w:uiPriority w:val="0"/>
    <w:qFormat/>
    <w:rPr>
      <w:rFonts w:ascii="Times New Roman" w:hAnsi="Times New Roman" w:eastAsia="宋体" w:cs="Times New Roman"/>
    </w:rPr>
  </w:style>
  <w:style w:type="paragraph" w:styleId="894" w:customStyle="1">
    <w:name w:val="正文1"/>
    <w:basedOn w:val="895"/>
    <w:next w:val="690"/>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895" w:customStyle="1">
    <w:name w:val="样式1"/>
    <w:basedOn w:val="690"/>
    <w:uiPriority w:val="0"/>
    <w:qFormat/>
    <w:pPr>
      <w:ind w:left="432" w:firstLine="288"/>
      <w:tabs>
        <w:tab w:val="left" w:pos="1110" w:leader="none"/>
      </w:tabs>
    </w:pPr>
    <w:rPr>
      <w:rFonts w:ascii="宋体" w:hAnsi="宋体"/>
      <w:szCs w:val="21"/>
    </w:rPr>
  </w:style>
  <w:style w:type="paragraph" w:styleId="896" w:customStyle="1">
    <w:name w:val="List Paragraph"/>
    <w:basedOn w:val="690"/>
    <w:uiPriority w:val="0"/>
    <w:qFormat/>
    <w:pPr>
      <w:ind w:firstLine="200"/>
    </w:pPr>
    <w:rPr>
      <w:rFonts w:ascii="Calibri" w:hAnsi="Calibri"/>
      <w:szCs w:val="22"/>
    </w:rPr>
  </w:style>
  <w:style w:type="paragraph" w:styleId="897" w:customStyle="1">
    <w:name w:val="普通正文"/>
    <w:basedOn w:val="690"/>
    <w:uiPriority w:val="0"/>
    <w:qFormat/>
    <w:pPr>
      <w:ind w:firstLine="480"/>
      <w:jc w:val="left"/>
      <w:spacing w:before="120" w:after="120" w:line="360" w:lineRule="auto"/>
    </w:pPr>
    <w:rPr>
      <w:rFonts w:ascii="Arial" w:hAnsi="Arial"/>
      <w:sz w:val="24"/>
    </w:rPr>
  </w:style>
  <w:style w:type="paragraph" w:styleId="898" w:customStyle="1">
    <w:name w:val="批注文字1"/>
    <w:basedOn w:val="690"/>
    <w:uiPriority w:val="0"/>
    <w:qFormat/>
    <w:pPr>
      <w:jc w:val="left"/>
    </w:pPr>
  </w:style>
  <w:style w:type="paragraph" w:styleId="899" w:customStyle="1">
    <w:name w:val="正文首行缩进 21"/>
    <w:basedOn w:val="900"/>
    <w:uiPriority w:val="0"/>
    <w:qFormat/>
    <w:pPr>
      <w:ind w:firstLine="420"/>
    </w:pPr>
  </w:style>
  <w:style w:type="paragraph" w:styleId="900" w:customStyle="1">
    <w:name w:val="正文文本缩进1"/>
    <w:basedOn w:val="690"/>
    <w:uiPriority w:val="0"/>
    <w:qFormat/>
    <w:pPr>
      <w:ind w:left="420"/>
      <w:spacing w:after="120"/>
    </w:pPr>
  </w:style>
  <w:style w:type="character" w:styleId="901" w:customStyle="1">
    <w:name w:val="超链接1"/>
    <w:link w:val="690"/>
    <w:uiPriority w:val="0"/>
    <w:qFormat/>
    <w:rPr>
      <w:rFonts w:ascii="Times New Roman" w:hAnsi="Times New Roman" w:eastAsia="宋体" w:cs="Times New Roman"/>
      <w:sz w:val="21"/>
      <w:szCs w:val="24"/>
      <w:lang w:val="en-US" w:eastAsia="zh-CN" w:bidi="ar-SA"/>
    </w:rPr>
  </w:style>
  <w:style w:type="table" w:styleId="902" w:customStyle="1">
    <w:name w:val="网格型1"/>
    <w:basedOn w:val="903"/>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03" w:customStyle="1">
    <w:name w:val="普通表格1"/>
    <w:uiPriority w:val="0"/>
    <w:semiHidden/>
    <w:qFormat/>
    <w:tblPr/>
  </w:style>
  <w:style w:type="character" w:styleId="904" w:customStyle="1">
    <w:name w:val="font21"/>
    <w:basedOn w:val="700"/>
    <w:uiPriority w:val="0"/>
    <w:qFormat/>
    <w:rPr>
      <w:rFonts w:hint="eastAsia" w:ascii="黑体" w:hAnsi="宋体" w:eastAsia="黑体" w:cs="黑体"/>
      <w:color w:val="000000"/>
      <w:sz w:val="21"/>
      <w:szCs w:val="21"/>
      <w:u w:val="none"/>
    </w:rPr>
  </w:style>
  <w:style w:type="character" w:styleId="905" w:customStyle="1">
    <w:name w:val="font71"/>
    <w:basedOn w:val="700"/>
    <w:uiPriority w:val="0"/>
    <w:qFormat/>
    <w:rPr>
      <w:rFonts w:hint="eastAsia" w:ascii="宋体" w:hAnsi="宋体" w:eastAsia="宋体" w:cs="宋体"/>
      <w:color w:val="000000"/>
      <w:sz w:val="21"/>
      <w:szCs w:val="21"/>
      <w:u w:val="none"/>
    </w:rPr>
  </w:style>
  <w:style w:type="character" w:styleId="906" w:customStyle="1">
    <w:name w:val="font81"/>
    <w:basedOn w:val="700"/>
    <w:uiPriority w:val="0"/>
    <w:qFormat/>
    <w:rPr>
      <w:rFonts w:hint="eastAsia" w:ascii="黑体" w:hAnsi="宋体" w:eastAsia="黑体" w:cs="黑体"/>
      <w:color w:val="ff6600"/>
      <w:sz w:val="21"/>
      <w:szCs w:val="21"/>
      <w:u w:val="none"/>
    </w:rPr>
  </w:style>
  <w:style w:type="character" w:styleId="907" w:customStyle="1">
    <w:name w:val="font01"/>
    <w:basedOn w:val="700"/>
    <w:uiPriority w:val="0"/>
    <w:qFormat/>
    <w:rPr>
      <w:rFonts w:hint="default" w:ascii="Arial" w:hAnsi="Arial" w:cs="Arial"/>
      <w:color w:val="000000"/>
      <w:sz w:val="20"/>
      <w:szCs w:val="20"/>
      <w:u w:val="none"/>
    </w:rPr>
  </w:style>
  <w:style w:type="character" w:styleId="908" w:customStyle="1">
    <w:name w:val="font51"/>
    <w:basedOn w:val="700"/>
    <w:uiPriority w:val="0"/>
    <w:qFormat/>
    <w:rPr>
      <w:rFonts w:hint="eastAsia" w:ascii="宋体" w:hAnsi="宋体" w:eastAsia="宋体" w:cs="宋体"/>
      <w:color w:val="000000"/>
      <w:sz w:val="22"/>
      <w:szCs w:val="22"/>
      <w:u w:val="none"/>
    </w:rPr>
  </w:style>
  <w:style w:type="numbering" w:styleId="136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武蕾</cp:lastModifiedBy>
  <cp:revision>4</cp:revision>
  <dcterms:created xsi:type="dcterms:W3CDTF">2024-03-14T00:27:00Z</dcterms:created>
  <dcterms:modified xsi:type="dcterms:W3CDTF">2025-11-24T09:04:25Z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5E8E76D13AF9477E9A8F81403227889D_13</vt:lpwstr>
  </property>
  <property fmtid="{D5CDD505-2E9C-101B-9397-08002B2CF9AE}" pid="4" name="KSOTemplateDocerSaveRecord">
    <vt:lpwstr>eyJoZGlkIjoiMzgzNjVlOGE0OWVlMTFkYzYxODI0NjRhMDM5ODVkZjQiLCJ1c2VySWQiOiIzOTY5OTg2OTUifQ==</vt:lpwstr>
  </property>
</Properties>
</file>